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604B6D" w:rsidP="00623EB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  <w:r w:rsidR="00341062" w:rsidRPr="00DE498A">
              <w:rPr>
                <w:rFonts w:ascii="Cambria" w:hAnsi="Cambria"/>
              </w:rPr>
              <w:t xml:space="preserve"> </w:t>
            </w:r>
            <w:r w:rsidR="00FB7289">
              <w:t xml:space="preserve">Fazla Mesai </w:t>
            </w:r>
            <w:r w:rsidR="00623EB5">
              <w:t xml:space="preserve">ve Staj </w:t>
            </w:r>
            <w:r w:rsidR="00FB7289">
              <w:t>Tahakkuk İşlemleri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D62659" w:rsidP="00604B6D">
            <w:pPr>
              <w:pStyle w:val="AralkYok"/>
              <w:jc w:val="both"/>
              <w:rPr>
                <w:rFonts w:ascii="Cambria" w:hAnsi="Cambria"/>
              </w:rPr>
            </w:pPr>
            <w:r>
              <w:t xml:space="preserve">Fazla Mesai- Staj </w:t>
            </w:r>
            <w:r w:rsidR="000F7A58">
              <w:t>Tahakkuk İşlemleri</w:t>
            </w:r>
            <w:r w:rsidR="000F7A58" w:rsidRPr="001222A5">
              <w:t xml:space="preserve"> </w:t>
            </w:r>
            <w:r w:rsidR="00DB3BBD">
              <w:rPr>
                <w:rFonts w:ascii="Cambria" w:hAnsi="Cambria"/>
              </w:rPr>
              <w:t>Personeli</w:t>
            </w:r>
            <w:r w:rsidR="00F14FB7">
              <w:rPr>
                <w:rFonts w:ascii="Cambria" w:hAnsi="Cambria"/>
              </w:rPr>
              <w:t xml:space="preserve"> </w:t>
            </w:r>
          </w:p>
        </w:tc>
      </w:tr>
      <w:tr w:rsidR="00604B6D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604B6D" w:rsidRPr="00DE498A" w:rsidRDefault="00604B6D" w:rsidP="00604B6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604B6D" w:rsidRPr="0012131F" w:rsidRDefault="00604B6D" w:rsidP="00604B6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A80DF4" w:rsidRDefault="00A80DF4" w:rsidP="006836C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A80DF4" w:rsidRPr="00DE498A" w:rsidRDefault="00604B6D" w:rsidP="00F222D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C621F8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C621F8">
              <w:rPr>
                <w:rFonts w:ascii="Cambria" w:hAnsi="Cambria"/>
              </w:rPr>
              <w:t xml:space="preserve"> ile ilgili</w:t>
            </w:r>
            <w:r w:rsidR="004126C9">
              <w:rPr>
                <w:rFonts w:ascii="Cambria" w:hAnsi="Cambria"/>
              </w:rPr>
              <w:t>, etki</w:t>
            </w:r>
            <w:r w:rsidR="00C621F8" w:rsidRPr="0012131F">
              <w:rPr>
                <w:rFonts w:ascii="Cambria" w:hAnsi="Cambria"/>
              </w:rPr>
              <w:t>nlik ve verimlilik ilkelerine uygun olarak yürütülmesi amacıyla</w:t>
            </w:r>
            <w:r w:rsidR="00C621F8">
              <w:rPr>
                <w:rFonts w:ascii="Cambria" w:hAnsi="Cambria"/>
              </w:rPr>
              <w:t xml:space="preserve"> çalışmalar yapmak</w:t>
            </w:r>
            <w:r w:rsidR="00CC1D33">
              <w:rPr>
                <w:rFonts w:ascii="Cambria" w:hAnsi="Cambria"/>
              </w:rPr>
              <w:t xml:space="preserve">, </w:t>
            </w:r>
            <w:r w:rsidR="00CC1D33" w:rsidRPr="00406E87">
              <w:rPr>
                <w:rFonts w:ascii="Cambria" w:hAnsi="Cambria"/>
              </w:rPr>
              <w:t>Kanunlar çerçevesinde</w:t>
            </w:r>
            <w:r w:rsidR="00F222DC">
              <w:rPr>
                <w:rFonts w:ascii="Cambria" w:hAnsi="Cambria"/>
              </w:rPr>
              <w:t xml:space="preserve"> öğrencilerin zorunlu ve isteğe bağlı staj </w:t>
            </w:r>
            <w:proofErr w:type="gramStart"/>
            <w:r w:rsidR="00F222DC">
              <w:rPr>
                <w:rFonts w:ascii="Cambria" w:hAnsi="Cambria"/>
              </w:rPr>
              <w:t xml:space="preserve">işlemlerini </w:t>
            </w:r>
            <w:r w:rsidR="00CC1D33" w:rsidRPr="00406E87">
              <w:rPr>
                <w:rFonts w:ascii="Cambria" w:hAnsi="Cambria"/>
              </w:rPr>
              <w:t xml:space="preserve"> hazırlık</w:t>
            </w:r>
            <w:proofErr w:type="gramEnd"/>
            <w:r w:rsidR="00CC1D33" w:rsidRPr="00406E87">
              <w:rPr>
                <w:rFonts w:ascii="Cambria" w:hAnsi="Cambria"/>
              </w:rPr>
              <w:t xml:space="preserve"> aşamasından</w:t>
            </w:r>
            <w:r w:rsidR="00F222DC">
              <w:rPr>
                <w:rFonts w:ascii="Cambria" w:hAnsi="Cambria"/>
              </w:rPr>
              <w:t xml:space="preserve"> SGK pirimi </w:t>
            </w:r>
            <w:r w:rsidR="00CC1D33" w:rsidRPr="00406E87">
              <w:rPr>
                <w:rFonts w:ascii="Cambria" w:hAnsi="Cambria"/>
              </w:rPr>
              <w:t xml:space="preserve"> ödeme aşamasına kadar </w:t>
            </w:r>
            <w:r w:rsidR="00CC1D33">
              <w:rPr>
                <w:rFonts w:ascii="Cambria" w:hAnsi="Cambria"/>
              </w:rPr>
              <w:t xml:space="preserve">olan </w:t>
            </w:r>
            <w:r w:rsidR="00CC1D33" w:rsidRPr="00406E87">
              <w:rPr>
                <w:rFonts w:ascii="Cambria" w:hAnsi="Cambria"/>
              </w:rPr>
              <w:t>süreçlerindeki evrak</w:t>
            </w:r>
            <w:r w:rsidR="00CC1D33">
              <w:rPr>
                <w:rFonts w:ascii="Cambria" w:hAnsi="Cambria"/>
              </w:rPr>
              <w:t>,</w:t>
            </w:r>
            <w:r w:rsidR="00CC1D33" w:rsidRPr="00406E87">
              <w:rPr>
                <w:rFonts w:ascii="Cambria" w:hAnsi="Cambria"/>
              </w:rPr>
              <w:t xml:space="preserve"> iş ve işlemlerini yapmak.</w:t>
            </w:r>
            <w:r w:rsidR="00C621F8">
              <w:rPr>
                <w:rFonts w:ascii="Cambria" w:hAnsi="Cambria"/>
              </w:rPr>
              <w:t xml:space="preserve"> </w:t>
            </w:r>
            <w:proofErr w:type="gramStart"/>
            <w:r w:rsidR="00F222DC">
              <w:rPr>
                <w:rFonts w:ascii="Cambria" w:hAnsi="Cambria"/>
              </w:rPr>
              <w:t xml:space="preserve">Personelin fazla mesai işlemlerini yapmak. </w:t>
            </w:r>
            <w:proofErr w:type="gramEnd"/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8D0400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4F5A52" w:rsidRPr="00DE498A" w:rsidTr="008D0400">
        <w:tc>
          <w:tcPr>
            <w:tcW w:w="9634" w:type="dxa"/>
            <w:shd w:val="clear" w:color="auto" w:fill="FFFFFF" w:themeFill="background1"/>
            <w:vAlign w:val="center"/>
          </w:tcPr>
          <w:p w:rsidR="00FB7289" w:rsidRPr="000B3DAF" w:rsidRDefault="00FB7289" w:rsidP="00FB7289">
            <w:pPr>
              <w:pStyle w:val="Default"/>
              <w:jc w:val="both"/>
              <w:rPr>
                <w:rFonts w:ascii="Cambria" w:hAnsi="Cambria"/>
              </w:rPr>
            </w:pPr>
          </w:p>
          <w:p w:rsidR="00FB7289" w:rsidRPr="000B3DAF" w:rsidRDefault="00FB7289" w:rsidP="00FB7289">
            <w:pPr>
              <w:pStyle w:val="Default"/>
              <w:jc w:val="both"/>
              <w:rPr>
                <w:rFonts w:ascii="Cambria" w:hAnsi="Cambria"/>
              </w:rPr>
            </w:pPr>
          </w:p>
          <w:p w:rsidR="00FB7289" w:rsidRPr="000B3DAF" w:rsidRDefault="00FB7289" w:rsidP="00FB7289">
            <w:pPr>
              <w:pStyle w:val="Default"/>
              <w:jc w:val="both"/>
              <w:rPr>
                <w:rFonts w:ascii="Cambria" w:hAnsi="Cambria"/>
              </w:rPr>
            </w:pPr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0B3DAF">
              <w:rPr>
                <w:rFonts w:ascii="Cambria" w:hAnsi="Cambria"/>
              </w:rPr>
              <w:t>Fazla mesai nöbet çizelgesini hazırlamak ve ilgilileri bilgilendirmek.</w:t>
            </w:r>
            <w:proofErr w:type="gramEnd"/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0B3DAF">
              <w:rPr>
                <w:rFonts w:ascii="Cambria" w:hAnsi="Cambria"/>
              </w:rPr>
              <w:t>Staj Takvimini oluşturup, üst yöneticilere bilgi vererek, duyurulmasını sağlamak.</w:t>
            </w:r>
            <w:proofErr w:type="gramEnd"/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0B3DAF">
              <w:rPr>
                <w:rFonts w:ascii="Cambria" w:hAnsi="Cambria"/>
              </w:rPr>
              <w:t>Staj Başvuru Formlarını teslim alıp, öğrencileri bilgilendirmek.</w:t>
            </w:r>
            <w:proofErr w:type="gramEnd"/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0B3DAF">
              <w:rPr>
                <w:rFonts w:ascii="Cambria" w:hAnsi="Cambria"/>
              </w:rPr>
              <w:t xml:space="preserve">Staj (isteğe Bağlı-Zorunlu) işlemlerinin takibini yakmak.  </w:t>
            </w:r>
            <w:proofErr w:type="gramEnd"/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Staj yapacak öğrencilerin SGK giriş ve çıkışlarını yapmak.</w:t>
            </w:r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 xml:space="preserve">SGK </w:t>
            </w:r>
            <w:proofErr w:type="spellStart"/>
            <w:r w:rsidRPr="000B3DAF">
              <w:rPr>
                <w:rFonts w:ascii="Cambria" w:hAnsi="Cambria"/>
              </w:rPr>
              <w:t>pirimlerinin</w:t>
            </w:r>
            <w:proofErr w:type="spellEnd"/>
            <w:r w:rsidRPr="000B3DAF">
              <w:rPr>
                <w:rFonts w:ascii="Cambria" w:hAnsi="Cambria"/>
              </w:rPr>
              <w:t xml:space="preserve"> KBS-MYS onaylarını yapmak.</w:t>
            </w:r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SGK ödemelerini yapmak</w:t>
            </w:r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Döner Sermaye işlemlerini organize etmek.</w:t>
            </w:r>
          </w:p>
          <w:p w:rsidR="009E1214" w:rsidRPr="000B3DAF" w:rsidRDefault="009E1214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Döner Sermaye bütçesini yapmak.</w:t>
            </w:r>
          </w:p>
          <w:p w:rsidR="002C445F" w:rsidRPr="000B3DAF" w:rsidRDefault="000F7A58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İkinci öğretim nöbet çizelgesini hazırlayıp, ikinci öğretim fazla mesai ücretlerinin ödenmesi için ilgili kişilere fazla mesai formlarını gönderip,  imzalı dönüşümünü takip ekmek.</w:t>
            </w:r>
          </w:p>
          <w:p w:rsidR="004F5A52" w:rsidRPr="000B3DAF" w:rsidRDefault="000F7A58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0B3DAF">
              <w:rPr>
                <w:rFonts w:ascii="Cambria" w:hAnsi="Cambria"/>
              </w:rPr>
              <w:t>İkinci öğretim fazla mesai ücretlerinin ödenmesini sağlamak.</w:t>
            </w:r>
            <w:proofErr w:type="gramEnd"/>
          </w:p>
          <w:p w:rsidR="007B7695" w:rsidRPr="000B3DAF" w:rsidRDefault="007B7695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Görev ve sorumluluk alanı ile ilgili her türlü yazışmaları yapmak, yazışmalarını ilgili birimler ile eşgüdümlü olarak yürütmek.</w:t>
            </w:r>
          </w:p>
          <w:p w:rsidR="007B7695" w:rsidRPr="000B3DAF" w:rsidRDefault="007B7695" w:rsidP="006E726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Çalışma sırasında çabukluk, gizlilik ve doğruluk ilkelerinden ayrılmamak.</w:t>
            </w:r>
          </w:p>
          <w:p w:rsidR="007B7695" w:rsidRPr="000B3DAF" w:rsidRDefault="007B7695" w:rsidP="006E726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İş verimliliği ve barışı açısından diğer birimlerle uyum içerisinde çalışmaya özen göstermek.</w:t>
            </w:r>
          </w:p>
          <w:p w:rsidR="007B7695" w:rsidRPr="000B3DAF" w:rsidRDefault="007B7695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0B3DAF">
              <w:rPr>
                <w:rFonts w:ascii="Cambria" w:hAnsi="Cambria"/>
              </w:rPr>
              <w:t>Her türlü bilgi ve belgeyi korumak.</w:t>
            </w:r>
            <w:proofErr w:type="gramEnd"/>
          </w:p>
          <w:p w:rsidR="007B7695" w:rsidRPr="000B3DAF" w:rsidRDefault="007B7695" w:rsidP="00C72062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Çalışma ortamında iş sağlığı ve güvenliği ile ilgili hususlara dikkat etmek, mevcut elektrikli aletlerde gerekli kontrolleri yapmak, kapı-pencerelerin mesai dışı saatlerde kapalı tutulmasını sağlamak.</w:t>
            </w:r>
          </w:p>
          <w:p w:rsidR="007B7695" w:rsidRPr="000B3DAF" w:rsidRDefault="007B7695" w:rsidP="00BC1077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 w:cs="Times New Roman"/>
              </w:rPr>
            </w:pPr>
            <w:r w:rsidRPr="000B3DAF">
              <w:rPr>
                <w:rFonts w:ascii="Cambria" w:hAnsi="Cambria"/>
              </w:rPr>
              <w:t xml:space="preserve">Bağlı olduğu süreç ile üst yöneticileri tarafından verilen diğer iş ve işlemleri yapmak. </w:t>
            </w:r>
          </w:p>
          <w:p w:rsidR="004F5A52" w:rsidRPr="000B3DAF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0B3DAF">
              <w:rPr>
                <w:rFonts w:ascii="Cambria" w:hAnsi="Cambria"/>
              </w:rPr>
              <w:t>Personelin</w:t>
            </w:r>
            <w:r w:rsidR="0006504F" w:rsidRPr="000B3DAF">
              <w:rPr>
                <w:rFonts w:ascii="Cambria" w:hAnsi="Cambria"/>
              </w:rPr>
              <w:t xml:space="preserve"> fazla mesai işlemlerini yapmak.</w:t>
            </w:r>
            <w:proofErr w:type="gramEnd"/>
          </w:p>
          <w:p w:rsidR="004F5A52" w:rsidRPr="000B3DAF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Tahakkuk (Ödeme Emri) işlemlerini</w:t>
            </w:r>
            <w:r w:rsidR="00B8019A" w:rsidRPr="000B3DAF">
              <w:rPr>
                <w:rFonts w:ascii="Cambria" w:hAnsi="Cambria"/>
              </w:rPr>
              <w:t xml:space="preserve"> yapmak, imzaya göndermek.</w:t>
            </w:r>
          </w:p>
          <w:p w:rsidR="004F5A52" w:rsidRPr="000B3DAF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 xml:space="preserve">Tüm Ödeme Emri evraklarını tahakkuk işlemi bittikten sonra teslim tutanağı ile Strateji ve Geliştirme Daire Başkanlığına teslim etmek ve dosyalayıp arşivlemek. </w:t>
            </w:r>
          </w:p>
          <w:p w:rsidR="00CC1D33" w:rsidRPr="000B3DAF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 xml:space="preserve">Faaliyet alanı ile ilgili kendisine havale edilen veya istenen iş ve işler ile evrakların/yazıların gereğini eşgüdümlü olarak yapmak, cevap yazılarını hazırlamak(kurum içi-kurum dışı), paraflamak ilgili üst yönetici/yöneticilerin onayına/parafına sunmak, </w:t>
            </w:r>
          </w:p>
          <w:p w:rsidR="00CC1D33" w:rsidRPr="000B3DAF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 xml:space="preserve">Görevi ile ilgili mevzuatları takip ederek değişen mevzuatları amirlerine bildirmek, </w:t>
            </w:r>
          </w:p>
          <w:p w:rsidR="00623EB5" w:rsidRPr="000B3DAF" w:rsidRDefault="00CC1D33" w:rsidP="003E41DF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 xml:space="preserve">Görevi ile ilgili her türlü evrakı standart dosya düzenine göre hazırlamak, dosyalamak ve arşive kaldırmak. </w:t>
            </w:r>
          </w:p>
          <w:p w:rsidR="00623EB5" w:rsidRPr="000B3DAF" w:rsidRDefault="00623EB5" w:rsidP="00623EB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lastRenderedPageBreak/>
              <w:t xml:space="preserve">Görevi ile ilgili süreçleri Üniversitemiz Kalite Politikası ve Kalite Yönetim Sistemi çerçevesinde, kalite hedefleri ve </w:t>
            </w:r>
            <w:proofErr w:type="gramStart"/>
            <w:r w:rsidRPr="000B3DAF">
              <w:rPr>
                <w:rFonts w:ascii="Cambria" w:hAnsi="Cambria"/>
              </w:rPr>
              <w:t>prosedürlerine</w:t>
            </w:r>
            <w:proofErr w:type="gramEnd"/>
            <w:r w:rsidRPr="000B3DAF">
              <w:rPr>
                <w:rFonts w:ascii="Cambria" w:hAnsi="Cambria"/>
              </w:rPr>
              <w:t xml:space="preserve"> uygun olarak yürütmek,</w:t>
            </w:r>
          </w:p>
          <w:p w:rsidR="00623EB5" w:rsidRPr="000B3DAF" w:rsidRDefault="00623EB5" w:rsidP="00623EB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yapmak.</w:t>
            </w:r>
          </w:p>
          <w:p w:rsidR="00F35515" w:rsidRPr="000B3DAF" w:rsidRDefault="00623EB5" w:rsidP="002827D0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B3DAF">
              <w:rPr>
                <w:rFonts w:ascii="Cambria" w:hAnsi="Cambria"/>
              </w:rPr>
              <w:t>Fazla Mesai ve Staj Personeli,</w:t>
            </w:r>
            <w:r w:rsidRPr="000B3DAF">
              <w:rPr>
                <w:rFonts w:ascii="Cambria" w:hAnsi="Cambria" w:cs="Times New Roman"/>
              </w:rPr>
              <w:t xml:space="preserve"> görev alanı itibariyle yürütmekle yükümlü bulunduğu hizmetleri, </w:t>
            </w:r>
            <w:r w:rsidRPr="000B3DAF">
              <w:rPr>
                <w:rFonts w:ascii="Cambria" w:hAnsi="Cambria"/>
              </w:rPr>
              <w:t xml:space="preserve"> yukarıda yazılı olan bütün bu görevleri kanunlara ve yönetmeliklere uygun olarak </w:t>
            </w:r>
            <w:r w:rsidRPr="000B3DAF">
              <w:rPr>
                <w:rFonts w:ascii="Cambria" w:hAnsi="Cambria" w:cs="Times New Roman"/>
              </w:rPr>
              <w:t xml:space="preserve">yerine getirilmesinden </w:t>
            </w:r>
            <w:r w:rsidRPr="000B3DAF">
              <w:rPr>
                <w:rFonts w:ascii="Cambria" w:hAnsi="Cambria"/>
              </w:rPr>
              <w:t xml:space="preserve">Fakülte Sekreterine, </w:t>
            </w:r>
            <w:r w:rsidR="00B61541">
              <w:rPr>
                <w:rFonts w:ascii="Cambria" w:hAnsi="Cambria"/>
              </w:rPr>
              <w:t xml:space="preserve">Dekan </w:t>
            </w:r>
            <w:r w:rsidR="002827D0">
              <w:rPr>
                <w:rFonts w:ascii="Cambria" w:hAnsi="Cambria"/>
              </w:rPr>
              <w:t>Yardımcısına</w:t>
            </w:r>
            <w:bookmarkStart w:id="0" w:name="_GoBack"/>
            <w:bookmarkEnd w:id="0"/>
            <w:r w:rsidRPr="000B3DAF">
              <w:rPr>
                <w:rFonts w:ascii="Cambria" w:hAnsi="Cambria"/>
              </w:rPr>
              <w:t xml:space="preserve"> ve Dekana karşı sorumludur.</w:t>
            </w:r>
          </w:p>
        </w:tc>
      </w:tr>
      <w:tr w:rsidR="007B7695" w:rsidRPr="00DE498A" w:rsidTr="008D0400">
        <w:tc>
          <w:tcPr>
            <w:tcW w:w="9634" w:type="dxa"/>
            <w:shd w:val="clear" w:color="auto" w:fill="FFFFFF" w:themeFill="background1"/>
            <w:vAlign w:val="center"/>
          </w:tcPr>
          <w:p w:rsidR="007B7695" w:rsidRPr="001222A5" w:rsidRDefault="007B7695" w:rsidP="00FB7289">
            <w:pPr>
              <w:pStyle w:val="Default"/>
              <w:jc w:val="both"/>
            </w:pPr>
          </w:p>
        </w:tc>
      </w:tr>
    </w:tbl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962698" w:rsidRPr="00DE498A" w:rsidTr="00AF00E4">
        <w:tc>
          <w:tcPr>
            <w:tcW w:w="4814" w:type="dxa"/>
            <w:shd w:val="clear" w:color="auto" w:fill="F2F2F2" w:themeFill="background1" w:themeFillShade="F2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962698" w:rsidRPr="00DE498A" w:rsidTr="00AF00E4">
        <w:tc>
          <w:tcPr>
            <w:tcW w:w="4814" w:type="dxa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62698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962698" w:rsidRPr="00DE498A" w:rsidTr="00AF00E4">
        <w:tc>
          <w:tcPr>
            <w:tcW w:w="4814" w:type="dxa"/>
          </w:tcPr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</w:tc>
      </w:tr>
    </w:tbl>
    <w:p w:rsidR="00962698" w:rsidRDefault="00962698" w:rsidP="00962698">
      <w:pPr>
        <w:pStyle w:val="AralkYok"/>
        <w:rPr>
          <w:rFonts w:ascii="Cambria" w:hAnsi="Cambria"/>
          <w:b/>
          <w:bCs/>
          <w:color w:val="002060"/>
        </w:rPr>
      </w:pPr>
    </w:p>
    <w:p w:rsidR="00962698" w:rsidRDefault="0096269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A2" w:rsidRDefault="00715AA2" w:rsidP="00534F7F">
      <w:pPr>
        <w:spacing w:after="0" w:line="240" w:lineRule="auto"/>
      </w:pPr>
      <w:r>
        <w:separator/>
      </w:r>
    </w:p>
  </w:endnote>
  <w:endnote w:type="continuationSeparator" w:id="0">
    <w:p w:rsidR="00715AA2" w:rsidRDefault="00715AA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B4" w:rsidRDefault="00AE3C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04B6D" w:rsidRPr="0081560B" w:rsidTr="004023B0">
      <w:trPr>
        <w:trHeight w:val="559"/>
      </w:trPr>
      <w:tc>
        <w:tcPr>
          <w:tcW w:w="666" w:type="dxa"/>
        </w:tcPr>
        <w:p w:rsidR="00604B6D" w:rsidRPr="00C4163E" w:rsidRDefault="00604B6D" w:rsidP="00604B6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604B6D" w:rsidRPr="00171789" w:rsidRDefault="00604B6D" w:rsidP="00604B6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604B6D" w:rsidRPr="00171789" w:rsidRDefault="00604B6D" w:rsidP="00604B6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604B6D" w:rsidRPr="0081560B" w:rsidRDefault="00604B6D" w:rsidP="00604B6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827D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827D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C04CC" w:rsidRPr="000C04CC" w:rsidRDefault="000C04CC" w:rsidP="00604B6D">
    <w:pPr>
      <w:pStyle w:val="AltBilgi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B4" w:rsidRDefault="00AE3C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A2" w:rsidRDefault="00715AA2" w:rsidP="00534F7F">
      <w:pPr>
        <w:spacing w:after="0" w:line="240" w:lineRule="auto"/>
      </w:pPr>
      <w:r>
        <w:separator/>
      </w:r>
    </w:p>
  </w:footnote>
  <w:footnote w:type="continuationSeparator" w:id="0">
    <w:p w:rsidR="00715AA2" w:rsidRDefault="00715AA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B4" w:rsidRDefault="00AE3C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604B6D" w:rsidTr="00715C4E">
      <w:trPr>
        <w:trHeight w:val="189"/>
      </w:trPr>
      <w:tc>
        <w:tcPr>
          <w:tcW w:w="2547" w:type="dxa"/>
          <w:vMerge w:val="restart"/>
        </w:tcPr>
        <w:p w:rsidR="00604B6D" w:rsidRDefault="00604B6D" w:rsidP="00604B6D">
          <w:pPr>
            <w:pStyle w:val="stBilgi"/>
            <w:ind w:left="-115" w:right="-110"/>
          </w:pPr>
          <w:r>
            <w:rPr>
              <w:noProof/>
              <w:color w:val="0000FF"/>
              <w:lang w:eastAsia="tr-TR"/>
            </w:rPr>
            <w:drawing>
              <wp:inline distT="0" distB="0" distL="0" distR="0" wp14:anchorId="5E0EBB9A" wp14:editId="763FE267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04B6D" w:rsidRPr="0092378E" w:rsidRDefault="00604B6D" w:rsidP="00604B6D">
          <w:pPr>
            <w:pStyle w:val="stBilgi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  <w:lang w:eastAsia="tr-TR"/>
            </w:rPr>
            <w:drawing>
              <wp:inline distT="0" distB="0" distL="0" distR="0" wp14:anchorId="0BDD72FF" wp14:editId="49915191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AE3CB4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GRT-0012</w:t>
          </w:r>
        </w:p>
      </w:tc>
    </w:tr>
    <w:tr w:rsidR="00604B6D" w:rsidTr="00715C4E">
      <w:trPr>
        <w:trHeight w:val="187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604B6D" w:rsidTr="00715C4E">
      <w:trPr>
        <w:trHeight w:val="187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604B6D" w:rsidTr="00715C4E">
      <w:trPr>
        <w:trHeight w:val="220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B4" w:rsidRDefault="00AE3C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957792F"/>
    <w:multiLevelType w:val="hybridMultilevel"/>
    <w:tmpl w:val="8E8C2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28FA"/>
    <w:multiLevelType w:val="multilevel"/>
    <w:tmpl w:val="60CAA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45183"/>
    <w:rsid w:val="00061C19"/>
    <w:rsid w:val="0006504F"/>
    <w:rsid w:val="00091589"/>
    <w:rsid w:val="0009228B"/>
    <w:rsid w:val="000A41CD"/>
    <w:rsid w:val="000B3DAF"/>
    <w:rsid w:val="000C04CC"/>
    <w:rsid w:val="000E330F"/>
    <w:rsid w:val="000F7A58"/>
    <w:rsid w:val="00102692"/>
    <w:rsid w:val="0013037B"/>
    <w:rsid w:val="00164950"/>
    <w:rsid w:val="0016547C"/>
    <w:rsid w:val="00166C41"/>
    <w:rsid w:val="00167ACC"/>
    <w:rsid w:val="00172ADA"/>
    <w:rsid w:val="001842CA"/>
    <w:rsid w:val="001B289B"/>
    <w:rsid w:val="001C2C4E"/>
    <w:rsid w:val="001D324B"/>
    <w:rsid w:val="001D6016"/>
    <w:rsid w:val="001E4576"/>
    <w:rsid w:val="001E5FBE"/>
    <w:rsid w:val="001F6791"/>
    <w:rsid w:val="0020240A"/>
    <w:rsid w:val="0023302F"/>
    <w:rsid w:val="00236E1E"/>
    <w:rsid w:val="0026786F"/>
    <w:rsid w:val="0027125B"/>
    <w:rsid w:val="002827D0"/>
    <w:rsid w:val="002A53CD"/>
    <w:rsid w:val="002B2944"/>
    <w:rsid w:val="002B3AA0"/>
    <w:rsid w:val="002B6BDC"/>
    <w:rsid w:val="002C0A2B"/>
    <w:rsid w:val="002C3ABB"/>
    <w:rsid w:val="002C445F"/>
    <w:rsid w:val="002E7330"/>
    <w:rsid w:val="0032238E"/>
    <w:rsid w:val="0032265A"/>
    <w:rsid w:val="003230A8"/>
    <w:rsid w:val="00325252"/>
    <w:rsid w:val="003303FE"/>
    <w:rsid w:val="00341062"/>
    <w:rsid w:val="003617EF"/>
    <w:rsid w:val="00393BCE"/>
    <w:rsid w:val="003A2B0F"/>
    <w:rsid w:val="003A649C"/>
    <w:rsid w:val="003B5D66"/>
    <w:rsid w:val="003C2817"/>
    <w:rsid w:val="003C57E6"/>
    <w:rsid w:val="003D652B"/>
    <w:rsid w:val="004023B0"/>
    <w:rsid w:val="0040547A"/>
    <w:rsid w:val="004126C9"/>
    <w:rsid w:val="00427EFD"/>
    <w:rsid w:val="004A143E"/>
    <w:rsid w:val="004D6EB8"/>
    <w:rsid w:val="004E2A62"/>
    <w:rsid w:val="004F27F3"/>
    <w:rsid w:val="004F5A52"/>
    <w:rsid w:val="00524FB0"/>
    <w:rsid w:val="00526B5A"/>
    <w:rsid w:val="00534F7F"/>
    <w:rsid w:val="0054789B"/>
    <w:rsid w:val="00551B24"/>
    <w:rsid w:val="0055738B"/>
    <w:rsid w:val="00565BFA"/>
    <w:rsid w:val="00584DF3"/>
    <w:rsid w:val="00586A9C"/>
    <w:rsid w:val="005A38EB"/>
    <w:rsid w:val="005B5AD0"/>
    <w:rsid w:val="005B6D4E"/>
    <w:rsid w:val="005C08E9"/>
    <w:rsid w:val="005C37C4"/>
    <w:rsid w:val="005E1687"/>
    <w:rsid w:val="006040B2"/>
    <w:rsid w:val="00604B6D"/>
    <w:rsid w:val="0061369F"/>
    <w:rsid w:val="0061636C"/>
    <w:rsid w:val="0062150D"/>
    <w:rsid w:val="00623EB5"/>
    <w:rsid w:val="00627720"/>
    <w:rsid w:val="006325A7"/>
    <w:rsid w:val="006355A1"/>
    <w:rsid w:val="00635A92"/>
    <w:rsid w:val="00646769"/>
    <w:rsid w:val="0064705C"/>
    <w:rsid w:val="00682605"/>
    <w:rsid w:val="00682A32"/>
    <w:rsid w:val="006836CB"/>
    <w:rsid w:val="00685ADB"/>
    <w:rsid w:val="00696996"/>
    <w:rsid w:val="006C2A58"/>
    <w:rsid w:val="006C40E1"/>
    <w:rsid w:val="006C7D11"/>
    <w:rsid w:val="006D3B1F"/>
    <w:rsid w:val="00706420"/>
    <w:rsid w:val="00714096"/>
    <w:rsid w:val="00715AA2"/>
    <w:rsid w:val="00715C4E"/>
    <w:rsid w:val="00726038"/>
    <w:rsid w:val="007304E0"/>
    <w:rsid w:val="0073606C"/>
    <w:rsid w:val="0075616C"/>
    <w:rsid w:val="0075672D"/>
    <w:rsid w:val="00775EA7"/>
    <w:rsid w:val="00775F29"/>
    <w:rsid w:val="007B0CFD"/>
    <w:rsid w:val="007B7695"/>
    <w:rsid w:val="007B79ED"/>
    <w:rsid w:val="007D4382"/>
    <w:rsid w:val="007E1161"/>
    <w:rsid w:val="00810A48"/>
    <w:rsid w:val="00830A95"/>
    <w:rsid w:val="0085454F"/>
    <w:rsid w:val="0086003A"/>
    <w:rsid w:val="00881A97"/>
    <w:rsid w:val="008845DB"/>
    <w:rsid w:val="008D0400"/>
    <w:rsid w:val="008D371C"/>
    <w:rsid w:val="008F2B79"/>
    <w:rsid w:val="00962698"/>
    <w:rsid w:val="0096625E"/>
    <w:rsid w:val="009713E5"/>
    <w:rsid w:val="009B6181"/>
    <w:rsid w:val="009C1368"/>
    <w:rsid w:val="009D33FC"/>
    <w:rsid w:val="009E1214"/>
    <w:rsid w:val="00A10E55"/>
    <w:rsid w:val="00A125A4"/>
    <w:rsid w:val="00A22546"/>
    <w:rsid w:val="00A354CE"/>
    <w:rsid w:val="00A45E0C"/>
    <w:rsid w:val="00A54008"/>
    <w:rsid w:val="00A80DF4"/>
    <w:rsid w:val="00A83328"/>
    <w:rsid w:val="00A83390"/>
    <w:rsid w:val="00AE3CB4"/>
    <w:rsid w:val="00AE3F0C"/>
    <w:rsid w:val="00B06EC8"/>
    <w:rsid w:val="00B26149"/>
    <w:rsid w:val="00B61541"/>
    <w:rsid w:val="00B8019A"/>
    <w:rsid w:val="00B912E6"/>
    <w:rsid w:val="00B94075"/>
    <w:rsid w:val="00BC7571"/>
    <w:rsid w:val="00BC7F23"/>
    <w:rsid w:val="00BE22F5"/>
    <w:rsid w:val="00C2619E"/>
    <w:rsid w:val="00C305C2"/>
    <w:rsid w:val="00C34C44"/>
    <w:rsid w:val="00C53C77"/>
    <w:rsid w:val="00C621F8"/>
    <w:rsid w:val="00CB6A3F"/>
    <w:rsid w:val="00CC1D33"/>
    <w:rsid w:val="00D1112B"/>
    <w:rsid w:val="00D23714"/>
    <w:rsid w:val="00D34F0E"/>
    <w:rsid w:val="00D35A4A"/>
    <w:rsid w:val="00D61693"/>
    <w:rsid w:val="00D62659"/>
    <w:rsid w:val="00D65310"/>
    <w:rsid w:val="00D9762C"/>
    <w:rsid w:val="00DB3BBD"/>
    <w:rsid w:val="00DD51A4"/>
    <w:rsid w:val="00DD70D1"/>
    <w:rsid w:val="00DE498A"/>
    <w:rsid w:val="00DE7DA1"/>
    <w:rsid w:val="00DF1926"/>
    <w:rsid w:val="00E13F11"/>
    <w:rsid w:val="00E2048D"/>
    <w:rsid w:val="00E3436C"/>
    <w:rsid w:val="00E36113"/>
    <w:rsid w:val="00E522EB"/>
    <w:rsid w:val="00E66B9F"/>
    <w:rsid w:val="00E87FEE"/>
    <w:rsid w:val="00E91291"/>
    <w:rsid w:val="00E979A5"/>
    <w:rsid w:val="00EC0A1D"/>
    <w:rsid w:val="00ED61D4"/>
    <w:rsid w:val="00EE3346"/>
    <w:rsid w:val="00F06511"/>
    <w:rsid w:val="00F14FB7"/>
    <w:rsid w:val="00F222DC"/>
    <w:rsid w:val="00F35515"/>
    <w:rsid w:val="00F544B4"/>
    <w:rsid w:val="00F55E37"/>
    <w:rsid w:val="00F60D79"/>
    <w:rsid w:val="00FA4D7F"/>
    <w:rsid w:val="00FA6D95"/>
    <w:rsid w:val="00FB059E"/>
    <w:rsid w:val="00FB7289"/>
    <w:rsid w:val="00FC3E69"/>
    <w:rsid w:val="00FC4D7B"/>
    <w:rsid w:val="00FD6A9C"/>
    <w:rsid w:val="00FF3333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D7446"/>
  <w15:docId w15:val="{571CD7A4-A803-448B-AD93-E92A033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28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0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Pau</cp:lastModifiedBy>
  <cp:revision>7</cp:revision>
  <dcterms:created xsi:type="dcterms:W3CDTF">2019-10-21T07:13:00Z</dcterms:created>
  <dcterms:modified xsi:type="dcterms:W3CDTF">2019-10-28T07:21:00Z</dcterms:modified>
</cp:coreProperties>
</file>