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40"/>
        <w:gridCol w:w="60"/>
        <w:gridCol w:w="40"/>
        <w:gridCol w:w="20"/>
        <w:gridCol w:w="160"/>
        <w:gridCol w:w="40"/>
        <w:gridCol w:w="60"/>
        <w:gridCol w:w="140"/>
        <w:gridCol w:w="300"/>
        <w:gridCol w:w="300"/>
        <w:gridCol w:w="40"/>
        <w:gridCol w:w="40"/>
        <w:gridCol w:w="200"/>
        <w:gridCol w:w="40"/>
        <w:gridCol w:w="240"/>
        <w:gridCol w:w="480"/>
        <w:gridCol w:w="280"/>
        <w:gridCol w:w="60"/>
        <w:gridCol w:w="40"/>
        <w:gridCol w:w="220"/>
        <w:gridCol w:w="220"/>
        <w:gridCol w:w="400"/>
        <w:gridCol w:w="80"/>
        <w:gridCol w:w="620"/>
        <w:gridCol w:w="100"/>
        <w:gridCol w:w="200"/>
        <w:gridCol w:w="40"/>
        <w:gridCol w:w="140"/>
        <w:gridCol w:w="140"/>
        <w:gridCol w:w="340"/>
        <w:gridCol w:w="320"/>
        <w:gridCol w:w="2140"/>
        <w:gridCol w:w="500"/>
        <w:gridCol w:w="340"/>
        <w:gridCol w:w="480"/>
        <w:gridCol w:w="60"/>
        <w:gridCol w:w="1220"/>
        <w:gridCol w:w="80"/>
        <w:gridCol w:w="40"/>
        <w:gridCol w:w="20"/>
        <w:gridCol w:w="40"/>
        <w:gridCol w:w="160"/>
        <w:gridCol w:w="40"/>
        <w:gridCol w:w="40"/>
        <w:gridCol w:w="60"/>
        <w:gridCol w:w="40"/>
        <w:gridCol w:w="20"/>
        <w:gridCol w:w="40"/>
        <w:gridCol w:w="240"/>
        <w:gridCol w:w="400"/>
      </w:tblGrid>
      <w:tr w:rsidR="003B754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sz w:val="36"/>
              </w:rPr>
              <w:t>HÜLYA KABAKÇI KARADENİZ</w:t>
            </w: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sz w:val="28"/>
              </w:rPr>
              <w:t>DOÇENT</w:t>
            </w: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b/>
              </w:rPr>
              <w:t xml:space="preserve">E-Posta </w:t>
            </w:r>
            <w:proofErr w:type="spellStart"/>
            <w:r>
              <w:rPr>
                <w:rFonts w:ascii="Verdana" w:eastAsia="Verdana" w:hAnsi="Verdana" w:cs="Verdana"/>
                <w:b/>
              </w:rPr>
              <w:t>Adresi</w:t>
            </w:r>
            <w:proofErr w:type="spellEnd"/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t>:</w:t>
            </w:r>
          </w:p>
        </w:tc>
        <w:tc>
          <w:tcPr>
            <w:tcW w:w="5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hulyak@pau.edu.tr</w:t>
            </w: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</w:rPr>
              <w:t>Telefon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</w:rPr>
              <w:t>İş</w:t>
            </w:r>
            <w:proofErr w:type="spellEnd"/>
            <w:r>
              <w:rPr>
                <w:rFonts w:ascii="Verdana" w:eastAsia="Verdana" w:hAnsi="Verdana" w:cs="Verdana"/>
                <w:b/>
              </w:rPr>
              <w:t>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t>:</w:t>
            </w:r>
          </w:p>
        </w:tc>
        <w:tc>
          <w:tcPr>
            <w:tcW w:w="5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-</w:t>
            </w: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</w:rPr>
              <w:t>Telefon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(Cep)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t>:</w:t>
            </w:r>
          </w:p>
        </w:tc>
        <w:tc>
          <w:tcPr>
            <w:tcW w:w="5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/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4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</w:rPr>
              <w:t>Adres</w:t>
            </w:r>
            <w:proofErr w:type="spellEnd"/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t>:</w:t>
            </w:r>
          </w:p>
        </w:tc>
        <w:tc>
          <w:tcPr>
            <w:tcW w:w="58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2F7083">
            <w:proofErr w:type="spellStart"/>
            <w:r>
              <w:rPr>
                <w:rFonts w:ascii="Verdana" w:eastAsia="Verdana" w:hAnsi="Verdana" w:cs="Verdana"/>
                <w:sz w:val="18"/>
              </w:rPr>
              <w:t>Pamukkale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Üniversitesi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870B6">
              <w:rPr>
                <w:rFonts w:ascii="Verdana" w:eastAsia="Verdana" w:hAnsi="Verdana" w:cs="Verdana"/>
                <w:sz w:val="18"/>
              </w:rPr>
              <w:t>Hukuk</w:t>
            </w:r>
            <w:proofErr w:type="spellEnd"/>
            <w:r w:rsidR="00A870B6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870B6">
              <w:rPr>
                <w:rFonts w:ascii="Verdana" w:eastAsia="Verdana" w:hAnsi="Verdana" w:cs="Verdana"/>
                <w:sz w:val="18"/>
              </w:rPr>
              <w:t>Fakültesi</w:t>
            </w:r>
            <w:proofErr w:type="spellEnd"/>
            <w:r w:rsidR="00A870B6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870B6">
              <w:rPr>
                <w:rFonts w:ascii="Verdana" w:eastAsia="Verdana" w:hAnsi="Verdana" w:cs="Verdana"/>
                <w:sz w:val="18"/>
              </w:rPr>
              <w:t>Kınıklı-Denizli</w:t>
            </w:r>
            <w:proofErr w:type="spellEnd"/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5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518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Bilgisi</w:t>
            </w:r>
            <w:proofErr w:type="spellEnd"/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Doktora</w:t>
            </w:r>
            <w:proofErr w:type="spellEnd"/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r>
              <w:rPr>
                <w:rFonts w:ascii="Verdana" w:eastAsia="Verdana" w:hAnsi="Verdana" w:cs="Verdana"/>
              </w:rPr>
              <w:t>HACETTEPE ÜNİVERSİTESİ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sz w:val="16"/>
              </w:rPr>
              <w:t>SOSYAL BİLİMLER ENSTİTÜSÜ/MALİYE (DR)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2000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Eylül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/2009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sz w:val="16"/>
              </w:rPr>
              <w:t>Tez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Türk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Motorlu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Taşıtlar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Vergisinin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çeşitli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ülke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uygulamaları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ile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karşılaştırılması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bir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model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önerisi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(2009)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Tez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Danışmanı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:(NURETTİN BİLİCİ)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Yüksek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Lisans</w:t>
            </w:r>
            <w:proofErr w:type="spellEnd"/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r>
              <w:rPr>
                <w:rFonts w:ascii="Verdana" w:eastAsia="Verdana" w:hAnsi="Verdana" w:cs="Verdana"/>
              </w:rPr>
              <w:t>DOKUZ EYLÜL ÜNİVERSİTESİ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sz w:val="16"/>
              </w:rPr>
              <w:t>SOSYAL BİLİMLER ENSTİTÜSÜ/MALİ HUKUK (YL) (TEZLİ)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1995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Şubat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/1999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sz w:val="16"/>
              </w:rPr>
              <w:t>Tez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Gelir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dağılımındaki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adaletsizlik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sorununun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çözümüne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yönelik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alternatif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kamu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politikaları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örneği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- (1999)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Tez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Danışmanı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:(COŞKUNCAN AKTAN)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Lisans</w:t>
            </w:r>
            <w:proofErr w:type="spellEnd"/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r>
              <w:rPr>
                <w:rFonts w:ascii="Verdana" w:eastAsia="Verdana" w:hAnsi="Verdana" w:cs="Verdana"/>
              </w:rPr>
              <w:t>DOKUZ EYLÜL ÜNİVERSİTESİ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sz w:val="16"/>
              </w:rPr>
              <w:t>İKTİSADİ VE İDARİ BİLİMLER FAKÜLTESİ/MALİYE BÖLÜMÜ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1990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Haziran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/1995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  <w:proofErr w:type="spellEnd"/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DOÇENT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ÜNİVERSİTESİ/HUKUK FAKÜLTESİ/KAMU HUKUKU BÖLÜMÜ/MALİ HUKUK ANABİLİM DALI)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2017 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YARDIMCI DOÇENT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ÜNİVERSİTESİ/HONAZ MESLEK YÜKSEKOKULU/MUHASEBE VE VERGİ BÖLÜMÜ)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2012 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DOÇENT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ÜNİVERSİTESİ/HONAZ MESLEK YÜKSEKOKULU)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2016-2017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ÜNİVERSİTESİ/HONAZ MESLEK YÜKSEKOKULU/MUHASEBE VE VERGİ BÖLÜMÜ)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2006-2012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ABANT İZZET BAYSAL ÜNİVERSİTESİ/BOLU MESLEK YÜKSEKOKULU/İKTİSADİ VE İDARİ PROGRAMLAR BÖLÜMÜ)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2003-2006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HACETTEPE ÜNİVERSİTESİ/SOSYAL BİLİMLER MESLEK YÜKSEKOKULU)</w:t>
            </w: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2003-2003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7"/>
          </w:tcPr>
          <w:p w:rsidR="003B7541" w:rsidRDefault="003B7541">
            <w:pPr>
              <w:pStyle w:val="EMPTYCELLSTYLE"/>
            </w:pPr>
          </w:p>
        </w:tc>
        <w:tc>
          <w:tcPr>
            <w:tcW w:w="3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KIRIKKALE ÜNİVERSİTESİ/İKTİSADİ VE İDARİ BİLİMLER FAKÜLTESİ/İKTİSAT BÖLÜMÜ)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2003-2003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2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Yaptığı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:</w:t>
            </w: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1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Birleşmiş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Milletler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Ortak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Programı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ILO İŞKUR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Herkes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İçin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İnsana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Yakışır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Gençlik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İstihdam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Programı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Antalya Pilot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Bölge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Uygulaması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Kurslarına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Katılanların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İşgücü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Piyasasındaki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Araştırması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ARAŞTIRMA PROJESİ,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Araştırmacı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>
              <w:rPr>
                <w:rFonts w:ascii="Verdana" w:eastAsia="Verdana" w:hAnsi="Verdana" w:cs="Verdana"/>
                <w:sz w:val="18"/>
              </w:rPr>
              <w:t xml:space="preserve"> 2012-2012) </w:t>
            </w: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1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Gerçek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Kazanç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Beyanı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Gelecek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Kazanç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Hakkı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Bağımlı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Bağımsız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Çalışanların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Sigorta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Primine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Kazançlarının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Gerçek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Tutarlar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SGK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Bildirilmesinin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Sağlanması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Projesi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, ARAŞTIRMA PROJESİ,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Yürütücü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2014-2014) </w:t>
            </w: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1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İlçelerin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Hasılasını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Belirleyen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Faktörler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Mekansal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Etkileşim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KamuPolitikaları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TÜBİTAK PROJESİ,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Araştırmacı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, 15/01/2015 - 29/12/2016 (ULUSAL) </w:t>
            </w: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1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Erasmus  Teaching Program,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Avrupa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Birliği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2012-2012 (ULUSLARARASI) </w:t>
            </w: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1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Erasmus Staff Training Program,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Avrupa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Birliği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Bursiyer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2014-2014 (ULUSLARARASI) </w:t>
            </w: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1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  <w:proofErr w:type="spellEnd"/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ÜNİVERSİTESİ/HUKUK FAKÜLTESİ/KAMU HUKUKU BÖLÜMÜ/MALİ HUKUK ANABİLİM DALI</w:t>
            </w: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Bşk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.</w:t>
            </w: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sz w:val="16"/>
              </w:rPr>
              <w:t>2018</w:t>
            </w: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ÜNİVERSİTESİ/HUKUK FAKÜLTESİ/KAMU HUKUKU BÖLÜMÜ/MALİ HUKUK ANABİLİM DALI</w:t>
            </w: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Anabilim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Dalı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Başkanı</w:t>
            </w:r>
            <w:proofErr w:type="spellEnd"/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sz w:val="16"/>
              </w:rPr>
              <w:t>2018</w:t>
            </w: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null/null</w:t>
            </w: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Dekan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Yardımcısı</w:t>
            </w:r>
            <w:proofErr w:type="spellEnd"/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sz w:val="16"/>
              </w:rPr>
              <w:t>2018</w:t>
            </w: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ÜNİVERSİTESİ/HONAZ MESLEK YÜKSEKOKULU</w:t>
            </w: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Komisyon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Üyeliği</w:t>
            </w:r>
            <w:proofErr w:type="spellEnd"/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ÜNİVERSİTESİ/HONAZ MESLEK YÜKSEKOKULU</w:t>
            </w: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Bşk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.</w:t>
            </w: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PAMUKKALE ÜNİVERSİTESİ/HONAZ MESLEK YÜKSEKOKULU</w:t>
            </w: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Program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Başkanı</w:t>
            </w:r>
            <w:proofErr w:type="spellEnd"/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sz w:val="16"/>
              </w:rPr>
              <w:t>2006-2009</w:t>
            </w: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7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Ödüller</w:t>
            </w:r>
            <w:proofErr w:type="spellEnd"/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898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Kayıt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Dışı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İstihdama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Kayıtsız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Kalma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Proje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Yarışması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4.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lük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Ödülü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(550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proje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içinde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SOSYAL GÜVENLİK KURUMU, 2014</w:t>
            </w: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98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Dersler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*</w:t>
            </w: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Öğrenim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541" w:rsidRDefault="00A870B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Saati</w:t>
            </w:r>
            <w:proofErr w:type="spellEnd"/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9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b/>
              </w:rPr>
              <w:t>2019-2020</w:t>
            </w: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9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</w:rPr>
              <w:t>Lisans</w:t>
            </w:r>
            <w:proofErr w:type="spellEnd"/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VERGİ HUKUKU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3</w:t>
            </w: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KAMU MALİYESİ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3</w:t>
            </w: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EKONOMİ VE HUKUK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2</w:t>
            </w: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9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b/>
              </w:rPr>
              <w:t>2018-2019</w:t>
            </w: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9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</w:rPr>
              <w:t>Lisans</w:t>
            </w:r>
            <w:proofErr w:type="spellEnd"/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EKONOMİ VE HUKUK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2</w:t>
            </w: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DIŞ TİCARET İŞLEMLERİ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3</w:t>
            </w: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KAMU MALİYESİ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3</w:t>
            </w: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EKONOMİK BÜTÜNLEŞMELER VE AVRUPA BİRLİĞİ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3</w:t>
            </w: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3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39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b/>
              </w:rPr>
              <w:t>2017-2018</w:t>
            </w: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9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</w:rPr>
              <w:t>Lisans</w:t>
            </w:r>
            <w:proofErr w:type="spellEnd"/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</w:rPr>
              <w:t>EKONOMİK BÜTÜNLEŞMELER VE AVRUPA BİRLİĞİ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proofErr w:type="spellStart"/>
            <w:r>
              <w:t>Türkçe</w:t>
            </w:r>
            <w:proofErr w:type="spellEnd"/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t>3</w:t>
            </w: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78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  <w:proofErr w:type="spellEnd"/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hakemli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dergilerde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yayımlanan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: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Otomobiller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Alınan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Motorlu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Taşıtlar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VergisininVergi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Adaleti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Açısından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İncelenmesi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Journal  of Public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F,inance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10.30927/ijpf.455386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6044548)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(2014).  New Incentive Package In Individual Pension System In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Turkey  The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Move From Tax Deduction To State Contribution.  International Journal of Contemporary Economics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andAdministrative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Sciences, 4(3-4), 85-104.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145944</w:t>
            </w:r>
            <w:r>
              <w:rPr>
                <w:rFonts w:ascii="Verdana" w:eastAsia="Verdana" w:hAnsi="Verdana" w:cs="Verdana"/>
                <w:sz w:val="18"/>
              </w:rPr>
              <w:t>3)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Dünyada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Yatırım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Ortamını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İyileştirmek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İçin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Yapılan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Reformları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Maliyesi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Yönetim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Araştırmaları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Dergisi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(21), 241-266.,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http://dx.doi.org/10.11611/JMER199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499390)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Yurtdışı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Çıkış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Harcı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Seyahat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Özgürlüğü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Mali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Çözüm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23, 43-66.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499378)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Avrupa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Birliği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Üyesi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Ülkelerde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Katma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Değer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Vergisi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Yakınsama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Gerçekleşiyor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mu.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9(20), 265-286.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499436)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(2013).  Kara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Ulaşımı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İle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İlgili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Mevzuatın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Denetlenmesi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Gelirlerinde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Etkinliğin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Sağlanması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Bütünleşik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İşlem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Sistemi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Önerisi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İnternet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Yönetim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Uygulamaları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4(2), 69-93.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499401)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B.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toplantılarda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sunulan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ve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kitaplarında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(proceedings)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basılan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: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(2019).  TÜRKİYE’DE SERVET ÜZERİNDEN ALINAN VERGİLERİN GELİR DAĞILIMI ÜZERİNE ETKİSİ.  34.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Maliye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No:6044542)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KARADENİZ OĞUZ,YEŞİLYURT FİLİZ,YEŞİLYURT MUHAMMET ENSAR,KABAKÇI KARADENİZ HÜLYA,ÇAĞLAR ATALAY,GÜLEL FERDA ESİN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Dünya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Karşılaştırmasıyla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İlçelere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Göre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Ortalama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Okullaşma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Yılı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(2009-2015).  19.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Ekonometri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Yöneylem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Araştırmas</w:t>
            </w:r>
            <w:r>
              <w:rPr>
                <w:rFonts w:ascii="Verdana" w:eastAsia="Verdana" w:hAnsi="Verdana" w:cs="Verdana"/>
                <w:sz w:val="18"/>
              </w:rPr>
              <w:t>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İstatistik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No:4499064)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(2018).  TÜRKİYE’DE EMLAK DEĞERLERİNİN GERÇEĞİ YANSITMAMASINDAN KAYNAKLANAN KAMU GELİRKAYIP KAÇAKLARI VE BUNLARIN ÖNLENMESİNEDÖNÜK BÜTÜNLEŞİK BİLGİ İŞLEM SİSTEMİ ÖNERİSİ.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I.Uluslararası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Bilimlerde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Kritik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Tartışmalar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Kongresi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No:4642267)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(2018).  UBER UYGULAMASININ TÜRK VERGİ HUKUKU KARŞISINDAKİ  DURUMU VE YOL AÇTIĞI TAHMİNİ VERGİ KAYIP VE KAÇAKLARI.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I.Uluslararası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Bilimlerde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Kritik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Tartışmalar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Kongresi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No:4642284)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(2018).  AKARYAKIT TURİZMİNİN ÇEVRE KİRLİLİĞİ VE KAMU MALİYESİ AÇISINDAN DEĞERLENDİRİLMESİ.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I.Uluslararası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Bilimlerde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Kritik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Tartışmalar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Kongresi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No:4642253)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Türkiye’de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AB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Ülkelerinde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Elektrikli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Otomobillerin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Vergilendirilmesi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veUlaşımdan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Kaynaklanan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Hava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Kirliliği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Olası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Conference on Empirical Economics and Social Sciences (ICEESS’18)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</w:t>
            </w:r>
            <w:r>
              <w:rPr>
                <w:rFonts w:ascii="Verdana" w:eastAsia="Verdana" w:hAnsi="Verdana" w:cs="Verdana"/>
                <w:sz w:val="18"/>
              </w:rPr>
              <w:t>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No:4642345)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KABAKÇI KAR</w:t>
            </w:r>
            <w:r w:rsidR="002F7083">
              <w:rPr>
                <w:rFonts w:ascii="Verdana" w:eastAsia="Verdana" w:hAnsi="Verdana" w:cs="Verdana"/>
                <w:sz w:val="18"/>
              </w:rPr>
              <w:t xml:space="preserve">ADENİZ HÜLYA (2018).  </w:t>
            </w:r>
            <w:proofErr w:type="spellStart"/>
            <w:r w:rsidR="002F7083">
              <w:rPr>
                <w:rFonts w:ascii="Verdana" w:eastAsia="Verdana" w:hAnsi="Verdana" w:cs="Verdana"/>
                <w:sz w:val="18"/>
              </w:rPr>
              <w:t>Türkiye’</w:t>
            </w:r>
            <w:r>
              <w:rPr>
                <w:rFonts w:ascii="Verdana" w:eastAsia="Verdana" w:hAnsi="Verdana" w:cs="Verdana"/>
                <w:sz w:val="18"/>
              </w:rPr>
              <w:t>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Akaryakıt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Alınan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Kaçınma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Conference on Empirical Economics and Social Sciences (ICEESS’18)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No:4642566)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KABAKÇI KARADENİZ HÜLYA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,KARADENİZ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OĞUZ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Dünya’da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Türkiye’de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Öğretimim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Görünümü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2. ULUSLARARASI YÜKSEKÖĞRETİMDEMESLEKİ EĞİTİM VE ÖĞRETİM SEMPOZYUMU, 64-64.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No:3909655)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Yüksekokullarında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Muhasebe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UygulamalarıProgramlarındaki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Müfredatının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İncelenmesi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2. ULUSLARARASI YÜKSEKÖĞRETİMDEMESLEKİ EĞİTİM VE ÖĞRETİM SEMPOZYUMU, 63-63.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No:3909607)</w:t>
            </w: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6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40" w:type="dxa"/>
            <w:gridSpan w:val="11"/>
          </w:tcPr>
          <w:p w:rsidR="003B7541" w:rsidRDefault="003B7541">
            <w:pPr>
              <w:pStyle w:val="EMPTYCELLSTYLE"/>
            </w:pPr>
          </w:p>
        </w:tc>
        <w:tc>
          <w:tcPr>
            <w:tcW w:w="1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9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8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KABAKÇI KARADENİZ HÜLYA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,KARADENİZ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OĞUZ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Dünya’da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Türkiye’de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Öğretimim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Görünümü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2. ULUSLARARASI YÜKSEKÖĞRETİMDEMESLEKİ EĞİTİM VE ÖĞRETİM SEMPOZYUMU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No:3888094)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KABAKÇI KARADENİZ HÜLYA (2017).  TÜRKİYE’DE SERVET VERGİLERİNİN VERGİ ADALETİ AÇISINDAN DEĞERLENDİRLMESİ.  INTERNATIONAL CONGRESS ON MANAGEMENT ECONOMICS AND BUSINESS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No:3908951)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KABAKÇI KARADENİZ HÜLYA (2017).  TÜRK EMLAK VERGİSİNİN ÇEŞİTLİ AVRUPA BİRLİĞİ ÜLKELERİYLE KARŞILAŞTIRILMASI.  INTERNATIONAL CONGRESS ON MANAGEMENT ECONOMICS AND BUSINESS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No:3909001)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(2017).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he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Evaluation of Special Consumption Tax Exception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forDisabled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as a Tax Expenditure.  32nd INTERNATIONALPUBLIC FINANCE CONFERENCE, 231-234.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No:3909525)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KARADENİZ OĞUZ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,KABAKÇI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KARADENİZ HÜLYA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Güney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Kore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Öğretimde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Sistemlerinin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Karşılaştırılmalı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Analizi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Yüseköğretimde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Öğretim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No:33115</w:t>
            </w:r>
            <w:r>
              <w:rPr>
                <w:rFonts w:ascii="Verdana" w:eastAsia="Verdana" w:hAnsi="Verdana" w:cs="Verdana"/>
                <w:sz w:val="18"/>
              </w:rPr>
              <w:t>64)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KABAKÇI KARADENİZ HÜLYA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,KARADENİZ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OĞUZ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Öğretimde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Staj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Konusunda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Karşılaşılan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Sorunlar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Çözüm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Önerileri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Yükseköğretimde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Öğretim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No:331149</w:t>
            </w:r>
            <w:r>
              <w:rPr>
                <w:rFonts w:ascii="Verdana" w:eastAsia="Verdana" w:hAnsi="Verdana" w:cs="Verdana"/>
                <w:sz w:val="18"/>
              </w:rPr>
              <w:t>0)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YEŞİLYURT FİLİZ,KABAKÇI KARADENİZ HÜLYA,KANGALLI UYAR SİNEM GÜLER,KARADENİZ OĞUZ,YEŞİLYURT MUHAMMET ENSAR (2016).  EKONOMİK GELİŞMİŞLİK İLE COĞRAFİ FAKTÖRLER ARASINDAKİ İLİŞKİNİN COĞRAFİ AĞIRLIKLANDIRILMIŞ REGRESYON MODELİ İLE İNCELENMESİ.  12.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</w:t>
            </w:r>
            <w:r>
              <w:rPr>
                <w:rFonts w:ascii="Verdana" w:eastAsia="Verdana" w:hAnsi="Verdana" w:cs="Verdana"/>
                <w:sz w:val="18"/>
              </w:rPr>
              <w:t>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Ekonometri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Yöneylem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İstatistik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Araştırmaları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No:3311906)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16.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Yüksekokulları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Literatüründeki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Gelişim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Temel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Yönelimler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Yüksekokulları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Sempozyumlarında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Sunulan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Bildirilerin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çerik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Analizi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Yöntemi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ncelenmesi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.  V.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Yüksekokulları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</w:t>
            </w:r>
            <w:r>
              <w:rPr>
                <w:rFonts w:ascii="Verdana" w:eastAsia="Verdana" w:hAnsi="Verdana" w:cs="Verdana"/>
                <w:sz w:val="18"/>
              </w:rPr>
              <w:t>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Sözlü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No:3311405)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17.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Emlak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Vergisinin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Adaleti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Açısından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Değerlendirilmesi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ICSER-International Conference on Social Sciences and Education Research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No:1682730)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18.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KORTUNAY NEVİN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,KABAKÇI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KARADENİZ HÜLYA,KARADENİZ OĞUZ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Hızlı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Tüketim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Malları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Perakendeciliğinin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Tüketici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Refahına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Kayıtlı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Kayıtlı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İstihdama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Olan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ICSER-International Conference on Social Sciences and Education Research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</w:t>
            </w:r>
            <w:r>
              <w:rPr>
                <w:rFonts w:ascii="Verdana" w:eastAsia="Verdana" w:hAnsi="Verdana" w:cs="Verdana"/>
                <w:sz w:val="18"/>
              </w:rPr>
              <w:t>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No:1682728)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19.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(2015).  Balkan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Ülkelerinde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Kurumlar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Doğrudan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Yabancı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Sermaye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Yatırımları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International  Research Congress on Social Sciences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No:1459483)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20.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2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C.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Yazılan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ulusal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kitaplar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veya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kitaplardaki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bölümler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C1.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Yazılan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ulusal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kitaplar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:</w:t>
            </w: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Akaryakıt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Alınan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Vergilere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Mükelleflerin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Tepkileri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(2013).,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Gazi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ISBN:978-605-344-093-2,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499226)</w:t>
            </w: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Mesleki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Kurslarına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Katılanların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İşgücü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Piyasasındaki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(2013)., KARADENİZ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Oğuz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KARADENİZ KABAKÇI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Hülya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KOCAALAN M.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Levent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ARPAT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Bülent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 ILO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Çalışma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Örgütü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Sayfa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Sayısı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73, ISBN:9789228282108,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499319)</w:t>
            </w: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Türk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Motorlu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Taşıtlar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Vergisinin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Çeşitli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Ülke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Uygulamaları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İle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Karşılaştırılması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Model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Önerisi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(2011).,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Maliye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Bakanlığı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Strateji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Geliştirme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Başkanlığı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ISBN:978-975-8195-55-8,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499208)</w:t>
            </w: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40" w:type="dxa"/>
            </w:tcMar>
          </w:tcPr>
          <w:p w:rsidR="003B7541" w:rsidRDefault="00A870B6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1026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C.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Yazılan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ulusal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kitaplar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veya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kitaplardaki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bölümler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Yazılan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ulusal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uluslararası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kitaplardaki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bölümler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:</w:t>
            </w: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Denizli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İşgücü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Piyasası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Koruma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:(TR32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Bölgesinde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Denizli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İliÖzelinde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Dağılımı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Yoksulluk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(2018).,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Gazi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Editör:Oğuz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Karadeniz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Nagihan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Durusoy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Öztepe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ISBN:978-605344-825-9,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İngilizce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4642113)</w:t>
            </w: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Maliye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Araştırmaları-1,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Harcaması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Olarak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Araç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Alımında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Engellilere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Tanınan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TüketimVergisi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İstisnasının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Değerlendirilmesi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.........) (2017).,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Editör:Adnan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Gerçek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Özhan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Çetinkaya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Sayf</w:t>
            </w:r>
            <w:r>
              <w:rPr>
                <w:rFonts w:ascii="Verdana" w:eastAsia="Verdana" w:hAnsi="Verdana" w:cs="Verdana"/>
                <w:sz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Sayısı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137145,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3908800)</w:t>
            </w: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Gelir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Dağılımı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Yoksulluk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Yoksulluğun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Nedenleri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(2017).,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Seçkin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sayısı:2,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3311202)</w:t>
            </w: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7440" w:type="dxa"/>
            <w:gridSpan w:val="23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right"/>
            </w:pPr>
            <w:r>
              <w:t>4</w:t>
            </w: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GVK 40 41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İndirilecek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İndirilemeyecek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Giderler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Yemek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Barınma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Tedavi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İlaç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Giyim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Sigorta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Primleri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Bireysel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Emeklilik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Katkı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Payları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(2013).,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Gazi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Editör:İbrahim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ORGAN,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ISBN:978-605-344-021-5,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</w:t>
            </w:r>
            <w:r>
              <w:rPr>
                <w:rFonts w:ascii="Verdana" w:eastAsia="Verdana" w:hAnsi="Verdana" w:cs="Verdana"/>
                <w:sz w:val="18"/>
              </w:rPr>
              <w:t>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499290)</w:t>
            </w: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Ekonomisinde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Güncel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Mali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Konular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Sisteminin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Analizi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Sorunlar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Çözüm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Önerileri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(2013).,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Ezgi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Editör:Cansel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OSKAY,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Cihan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YÜKSEL,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ISBN:978-605-5048-46-4,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</w:t>
            </w:r>
            <w:r>
              <w:rPr>
                <w:rFonts w:ascii="Verdana" w:eastAsia="Verdana" w:hAnsi="Verdana" w:cs="Verdana"/>
                <w:sz w:val="18"/>
              </w:rPr>
              <w:t>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499274)</w:t>
            </w: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Kıdem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Tazminatı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Uygulamada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Karşılaşılan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Sorunlar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Çözüm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Önerileri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Bölüm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Kıdem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Tazminatının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Bıyutu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(2011)., KABAKÇI KARADENİZ HÜLYA,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Gazi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Editör:Kamil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ORHAN Handan KUMAŞ,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sayısı:1, ISBN:978-605-5543-75-4,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Türkçe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Kitap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</w:t>
            </w:r>
            <w:r>
              <w:rPr>
                <w:rFonts w:ascii="Verdana" w:eastAsia="Verdana" w:hAnsi="Verdana" w:cs="Verdana"/>
                <w:sz w:val="18"/>
              </w:rPr>
              <w:t>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499248)</w:t>
            </w: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Pr>
              <w:jc w:val="center"/>
            </w:pPr>
            <w:r>
              <w:rPr>
                <w:sz w:val="18"/>
              </w:rPr>
              <w:t>6.</w:t>
            </w: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88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0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Ulusal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hakemli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dergilerde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yayımlanan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: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Meslek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Yüksekokullarında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Muhasebe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Uygulamaları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Programlarındaki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Müfredatının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İncelenmesi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Başkent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University Journal of Education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Kontrol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4642099)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KARADENİZ OĞUZ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,KABAKÇI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KARADENİZ HÜLYA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Eksik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Ücret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Bildirimin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Boyutları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Nedenleri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Çözüm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Önerileri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Legal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iş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Hukuku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Güvenlik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Hukuku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Kontrol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3311119)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Emlak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Vergisinin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Adaleti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Açısından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Değerlendirilmesi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Legal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İş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Hukuku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Güvenlik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Hukuku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Dergisi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Kontrol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3311061)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(2003).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Sigara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Güvenliğin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Finansmanı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Olarak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Alınması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İçin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Model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Önerisi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Güvenlik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Dünyası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Dergisi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8), 81-87.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Kontrol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499183)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(1999).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Türkiye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Dağılımındaki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Adaletsizliği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Gidermeye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Yönelik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Politikaları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Sosyal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Güvenlik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Dünyası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Dergisi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4), 39-44.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Kontrol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 499189)</w:t>
            </w: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42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E.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Ulusal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bilimsel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toplantılarda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sunulan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ve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kitaplarında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basılan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bildiriler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:</w:t>
            </w: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LÖK Hasan, KARADENİZ KABAKÇI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Hülya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ERDEM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ŞULE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Avrupa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Yatırım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Bankası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Kaynaklı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Sektör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Proje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Kredilerinin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Ülkemizdeki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Uygulama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Sonuçları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Hasan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Lök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Şule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ERDEM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birlikte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.  Marmara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Ünv.Bankacılık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Sigortacılık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Geleneksel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1), 82</w:t>
            </w:r>
            <w:r>
              <w:rPr>
                <w:rFonts w:ascii="Verdana" w:eastAsia="Verdana" w:hAnsi="Verdana" w:cs="Verdana"/>
                <w:sz w:val="18"/>
              </w:rPr>
              <w:t xml:space="preserve">9-853.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No:499334)</w:t>
            </w: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BÜLBÜL Duran, KARADENİZ KABAKÇI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Hülya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Sigorta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Prim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Aflarının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Kayıtdışı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19.Türkiye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Maliye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(1), 1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No:499346)</w:t>
            </w: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KABAKÇI KARADENİZ HÜLYA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Taşınmazların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Emlak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Değerinin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Gerçek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Değerlerini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Yansıtmamasının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Çeşitli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Gelirleri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Honaz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İlçesi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Örneği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Honaz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No:1682718)</w:t>
            </w: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BÜLBÜL DURAN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,KABAKÇI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KARADENİZ HÜLYA (2004).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Sigorta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Prim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Aflarının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Kayıt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Dışı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Ekonomi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Üzerine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Etkisi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19.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Maliye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Sempozyumu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(Tam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Bildiri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/Poster)(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Yayın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No:3909788)</w:t>
            </w: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94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39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Dışı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Deneyim</w:t>
            </w:r>
            <w:proofErr w:type="spellEnd"/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2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2013-2013</w:t>
            </w:r>
          </w:p>
        </w:tc>
        <w:tc>
          <w:tcPr>
            <w:tcW w:w="2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Eğitmen</w:t>
            </w:r>
            <w:proofErr w:type="spellEnd"/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2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70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sz w:val="18"/>
              </w:rPr>
              <w:t>Pamukkale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Üniversitesi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Sürekli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Merkezi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SPK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Lisanslama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Kursu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Vergi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SPK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Mevzuatı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Dersleri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Ticari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))</w:t>
            </w: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2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2008-2015</w:t>
            </w:r>
          </w:p>
        </w:tc>
        <w:tc>
          <w:tcPr>
            <w:tcW w:w="2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b/>
                <w:sz w:val="16"/>
              </w:rPr>
              <w:t xml:space="preserve">SRC 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eğitimleri</w:t>
            </w:r>
            <w:proofErr w:type="spellEnd"/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2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70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sz w:val="18"/>
              </w:rPr>
              <w:t>Pamukkale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Üniversitesi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Sürekli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Eğitim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Merkezi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Güzerhah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Geçiş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Belgeleri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Yasal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Sorumluluklar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Sigorta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Gümrük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Tır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Kaçakçılık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Mevzuatı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derrslerinin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verilmesi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Ticari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Özel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))</w:t>
            </w: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2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r>
              <w:rPr>
                <w:rFonts w:ascii="Verdana" w:eastAsia="Verdana" w:hAnsi="Verdana" w:cs="Verdana"/>
                <w:sz w:val="18"/>
              </w:rPr>
              <w:t>1995-2003</w:t>
            </w:r>
          </w:p>
        </w:tc>
        <w:tc>
          <w:tcPr>
            <w:tcW w:w="2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Müdür</w:t>
            </w:r>
            <w:proofErr w:type="spellEnd"/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12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3B7541">
            <w:pPr>
              <w:pStyle w:val="EMPTYCELLSTYLE"/>
            </w:pPr>
          </w:p>
        </w:tc>
        <w:tc>
          <w:tcPr>
            <w:tcW w:w="70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41" w:rsidRDefault="00A870B6">
            <w:proofErr w:type="spellStart"/>
            <w:r>
              <w:rPr>
                <w:rFonts w:ascii="Verdana" w:eastAsia="Verdana" w:hAnsi="Verdana" w:cs="Verdana"/>
                <w:sz w:val="18"/>
              </w:rPr>
              <w:t>Kabakçı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Tarım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Ürünleri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İthalat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İhrc.ltd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şti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Ortağı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olduğu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İhracat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ağırlıklı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şirketin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müdürü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Diğer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70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1070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  <w:tr w:rsidR="003B75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7541" w:rsidRDefault="003B7541">
            <w:pPr>
              <w:pStyle w:val="EMPTYCELLSTYLE"/>
            </w:pPr>
          </w:p>
        </w:tc>
        <w:tc>
          <w:tcPr>
            <w:tcW w:w="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3B7541" w:rsidRDefault="003B7541">
            <w:pPr>
              <w:pStyle w:val="EMPTYCELLSTYLE"/>
            </w:pPr>
          </w:p>
        </w:tc>
        <w:tc>
          <w:tcPr>
            <w:tcW w:w="620" w:type="dxa"/>
          </w:tcPr>
          <w:p w:rsidR="003B7541" w:rsidRDefault="003B7541">
            <w:pPr>
              <w:pStyle w:val="EMPTYCELLSTYLE"/>
            </w:pPr>
          </w:p>
        </w:tc>
        <w:tc>
          <w:tcPr>
            <w:tcW w:w="4800" w:type="dxa"/>
            <w:gridSpan w:val="12"/>
          </w:tcPr>
          <w:p w:rsidR="003B7541" w:rsidRDefault="003B7541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1" w:rsidRDefault="00A870B6">
            <w:pPr>
              <w:jc w:val="right"/>
            </w:pPr>
            <w:r>
              <w:t>5</w:t>
            </w:r>
          </w:p>
        </w:tc>
        <w:tc>
          <w:tcPr>
            <w:tcW w:w="400" w:type="dxa"/>
          </w:tcPr>
          <w:p w:rsidR="003B7541" w:rsidRDefault="003B7541">
            <w:pPr>
              <w:pStyle w:val="EMPTYCELLSTYLE"/>
            </w:pPr>
          </w:p>
        </w:tc>
      </w:tr>
    </w:tbl>
    <w:p w:rsidR="00A870B6" w:rsidRDefault="00A870B6"/>
    <w:sectPr w:rsidR="00A870B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3B7541"/>
    <w:rsid w:val="002F7083"/>
    <w:rsid w:val="003B7541"/>
    <w:rsid w:val="00A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2972</Words>
  <Characters>16943</Characters>
  <Application>Microsoft Office Word</Application>
  <DocSecurity>0</DocSecurity>
  <Lines>141</Lines>
  <Paragraphs>39</Paragraphs>
  <ScaleCrop>false</ScaleCrop>
  <Company>Pamukkale Üniversitesi</Company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</cp:lastModifiedBy>
  <cp:revision>2</cp:revision>
  <dcterms:created xsi:type="dcterms:W3CDTF">2020-02-05T21:09:00Z</dcterms:created>
  <dcterms:modified xsi:type="dcterms:W3CDTF">2020-02-05T21:15:00Z</dcterms:modified>
</cp:coreProperties>
</file>