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DE498A" w:rsidRDefault="00FA44F5" w:rsidP="00795A9E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İktisadi ve İdari Bilimler Fakültesi</w:t>
            </w:r>
            <w:r w:rsidR="00341062" w:rsidRPr="00DE498A">
              <w:rPr>
                <w:rFonts w:ascii="Cambria" w:hAnsi="Cambria"/>
              </w:rPr>
              <w:t xml:space="preserve"> 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DE498A" w:rsidRDefault="0004799F" w:rsidP="00BF4AB4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Teknik İşler</w:t>
            </w:r>
            <w:r w:rsidR="008F7FB2">
              <w:rPr>
                <w:rFonts w:ascii="Cambria" w:hAnsi="Cambria"/>
              </w:rPr>
              <w:t xml:space="preserve"> Personeli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8F72C2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="00714096" w:rsidRPr="00DE498A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070C3B" w:rsidRPr="00DE498A" w:rsidRDefault="00476742" w:rsidP="00070C3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="00FA44F5">
              <w:rPr>
                <w:rFonts w:ascii="Cambria" w:hAnsi="Cambria"/>
              </w:rPr>
              <w:t>/</w:t>
            </w:r>
            <w:r w:rsidR="00070C3B">
              <w:rPr>
                <w:rFonts w:ascii="Cambria" w:hAnsi="Cambria"/>
              </w:rPr>
              <w:t>Dekan Yardımcısı/Fakülte Sekreteri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DE498A" w:rsidRDefault="00EC0A1D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714096" w:rsidRPr="00DE498A" w:rsidRDefault="00714096" w:rsidP="009259D0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EB6FF1" w:rsidRDefault="00070C3B" w:rsidP="0053258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Pamukkale</w:t>
            </w:r>
            <w:r w:rsidR="00532585" w:rsidRPr="0012131F">
              <w:rPr>
                <w:rFonts w:ascii="Cambria" w:hAnsi="Cambria"/>
              </w:rPr>
              <w:t xml:space="preserve"> Üniversitesi üst yönetimi tarafından belirlenen amaç ve ilkelere uygun olarak; birimin tüm faaliyetleri</w:t>
            </w:r>
            <w:r w:rsidR="00532585">
              <w:rPr>
                <w:rFonts w:ascii="Cambria" w:hAnsi="Cambria"/>
              </w:rPr>
              <w:t xml:space="preserve"> ile ilgili</w:t>
            </w:r>
            <w:r w:rsidR="00532585" w:rsidRPr="0012131F">
              <w:rPr>
                <w:rFonts w:ascii="Cambria" w:hAnsi="Cambria"/>
              </w:rPr>
              <w:t>, etkenlik ve verimlilik ilkelerine uygun olarak yürütülmesi amacıyla</w:t>
            </w:r>
            <w:r w:rsidR="00532585">
              <w:rPr>
                <w:rFonts w:ascii="Cambria" w:hAnsi="Cambria"/>
              </w:rPr>
              <w:t xml:space="preserve"> çalışmalar yapmak. B</w:t>
            </w:r>
            <w:r w:rsidR="00EB6FF1">
              <w:rPr>
                <w:rFonts w:ascii="Cambria" w:hAnsi="Cambria"/>
              </w:rPr>
              <w:t>ağlı</w:t>
            </w:r>
            <w:r w:rsidR="00EC6617">
              <w:rPr>
                <w:rFonts w:ascii="Cambria" w:hAnsi="Cambria"/>
              </w:rPr>
              <w:t xml:space="preserve"> bulunduğu birimin</w:t>
            </w:r>
            <w:r w:rsidR="00EB6FF1">
              <w:rPr>
                <w:rFonts w:ascii="Cambria" w:hAnsi="Cambria"/>
              </w:rPr>
              <w:t xml:space="preserve"> </w:t>
            </w:r>
            <w:r w:rsidR="0004799F">
              <w:rPr>
                <w:rFonts w:ascii="Cambria" w:hAnsi="Cambria"/>
              </w:rPr>
              <w:t>hizmet binalarının ısıtma, soğutma, elektrik, su sistemlerinin işlerliğini sağlayıp, teknik arızaların giderilmesini sağlamak.</w:t>
            </w:r>
          </w:p>
          <w:p w:rsidR="00C34C44" w:rsidRPr="00DE498A" w:rsidRDefault="00EB6FF1" w:rsidP="00EB6FF1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 xml:space="preserve"> </w:t>
            </w: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A14330" w:rsidTr="00714096">
        <w:tc>
          <w:tcPr>
            <w:tcW w:w="9634" w:type="dxa"/>
            <w:shd w:val="clear" w:color="auto" w:fill="FFFFFF" w:themeFill="background1"/>
          </w:tcPr>
          <w:p w:rsidR="005801B2" w:rsidRPr="00A14330" w:rsidRDefault="005801B2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 w:rsidRPr="00A14330">
              <w:rPr>
                <w:rFonts w:ascii="Cambria" w:hAnsi="Cambria"/>
              </w:rPr>
              <w:t>Hizmet binalarını d</w:t>
            </w:r>
            <w:r w:rsidR="0085535D" w:rsidRPr="00A14330">
              <w:rPr>
                <w:rFonts w:ascii="Cambria" w:hAnsi="Cambria"/>
              </w:rPr>
              <w:t>üzenini sağlamak.</w:t>
            </w:r>
            <w:proofErr w:type="gramEnd"/>
          </w:p>
          <w:p w:rsidR="0085535D" w:rsidRPr="00A14330" w:rsidRDefault="0085535D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A14330">
              <w:rPr>
                <w:rFonts w:ascii="Cambria" w:hAnsi="Cambria"/>
              </w:rPr>
              <w:t>Isıtma ve soğutma sisteminin düzgün işlemesini sağlamak.</w:t>
            </w:r>
          </w:p>
          <w:p w:rsidR="0085535D" w:rsidRPr="00A14330" w:rsidRDefault="0085535D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A14330">
              <w:rPr>
                <w:rFonts w:ascii="Cambria" w:hAnsi="Cambria"/>
              </w:rPr>
              <w:t>Blokların özelliklerine göre ısıtma, soğutma, havalandırma, klima sistemlerinin gerektiği gibi çalışmasını sağlamak.</w:t>
            </w:r>
          </w:p>
          <w:p w:rsidR="00C44FB9" w:rsidRPr="00A14330" w:rsidRDefault="0085535D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 w:rsidRPr="00A14330">
              <w:rPr>
                <w:rFonts w:ascii="Cambria" w:hAnsi="Cambria"/>
                <w:color w:val="212529"/>
                <w:shd w:val="clear" w:color="auto" w:fill="FFFFFF"/>
              </w:rPr>
              <w:t>Elektrik ve su tesisatının kontrolünü yapmak.</w:t>
            </w:r>
            <w:r w:rsidR="00EC6617" w:rsidRPr="00A14330">
              <w:rPr>
                <w:rFonts w:ascii="Cambria" w:hAnsi="Cambria"/>
                <w:color w:val="212529"/>
                <w:shd w:val="clear" w:color="auto" w:fill="FFFFFF"/>
              </w:rPr>
              <w:t xml:space="preserve"> </w:t>
            </w:r>
            <w:proofErr w:type="gramEnd"/>
          </w:p>
          <w:p w:rsidR="00C44FB9" w:rsidRPr="00A14330" w:rsidRDefault="0085535D" w:rsidP="00453B03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 w:rsidRPr="00A14330">
              <w:rPr>
                <w:rFonts w:ascii="Cambria" w:hAnsi="Cambria"/>
                <w:color w:val="212529"/>
                <w:shd w:val="clear" w:color="auto" w:fill="FFFFFF"/>
              </w:rPr>
              <w:t xml:space="preserve">Her türlü teknik, mekanik arızanın giderilmesini </w:t>
            </w:r>
            <w:r w:rsidR="008F7FB2" w:rsidRPr="00A14330">
              <w:rPr>
                <w:rFonts w:ascii="Cambria" w:hAnsi="Cambria"/>
                <w:color w:val="212529"/>
                <w:shd w:val="clear" w:color="auto" w:fill="FFFFFF"/>
              </w:rPr>
              <w:t>sağlamak.</w:t>
            </w:r>
            <w:r w:rsidR="00C44FB9" w:rsidRPr="00A14330">
              <w:rPr>
                <w:rFonts w:ascii="Cambria" w:hAnsi="Cambria"/>
              </w:rPr>
              <w:t xml:space="preserve"> </w:t>
            </w:r>
            <w:proofErr w:type="gramEnd"/>
          </w:p>
          <w:p w:rsidR="00C44FB9" w:rsidRPr="00A14330" w:rsidRDefault="008F7FB2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A14330">
              <w:rPr>
                <w:rFonts w:ascii="Cambria" w:hAnsi="Cambria"/>
                <w:color w:val="212529"/>
                <w:shd w:val="clear" w:color="auto" w:fill="FFFFFF"/>
              </w:rPr>
              <w:t>Kullanıcı problemleri ile altyapı problemlerinin çözümüne destek vermek</w:t>
            </w:r>
            <w:r w:rsidR="00C44FB9" w:rsidRPr="00A14330">
              <w:rPr>
                <w:rFonts w:ascii="Cambria" w:hAnsi="Cambria"/>
              </w:rPr>
              <w:t>.</w:t>
            </w:r>
          </w:p>
          <w:p w:rsidR="00C44FB9" w:rsidRPr="00A14330" w:rsidRDefault="0085535D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 w:rsidRPr="00A14330">
              <w:rPr>
                <w:rFonts w:ascii="Cambria" w:hAnsi="Cambria"/>
                <w:color w:val="212529"/>
                <w:shd w:val="clear" w:color="auto" w:fill="FFFFFF"/>
              </w:rPr>
              <w:t>Gerektiğinde bina koordinatörlüğü yapmak</w:t>
            </w:r>
            <w:r w:rsidR="00C44FB9" w:rsidRPr="00A14330">
              <w:rPr>
                <w:rFonts w:ascii="Cambria" w:hAnsi="Cambria"/>
              </w:rPr>
              <w:t>.</w:t>
            </w:r>
            <w:proofErr w:type="gramEnd"/>
          </w:p>
          <w:p w:rsidR="00921CB9" w:rsidRPr="00A14330" w:rsidRDefault="0085535D" w:rsidP="00C24BE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A14330">
              <w:rPr>
                <w:rFonts w:ascii="Cambria" w:hAnsi="Cambria"/>
                <w:color w:val="212529"/>
                <w:shd w:val="clear" w:color="auto" w:fill="FFFFFF"/>
              </w:rPr>
              <w:t>Milli bayramlar öncesi binaya Atatürk portresi ve bayrak astırma işlemini yapmak</w:t>
            </w:r>
            <w:r w:rsidR="008F7FB2" w:rsidRPr="00A14330">
              <w:rPr>
                <w:rFonts w:ascii="Cambria" w:hAnsi="Cambria"/>
              </w:rPr>
              <w:t>.</w:t>
            </w:r>
          </w:p>
          <w:p w:rsidR="00D601D1" w:rsidRPr="00A14330" w:rsidRDefault="008F7FB2" w:rsidP="00764EA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A14330">
              <w:rPr>
                <w:rFonts w:ascii="Cambria" w:hAnsi="Cambria"/>
                <w:color w:val="212529"/>
                <w:shd w:val="clear" w:color="auto" w:fill="FFFFFF"/>
              </w:rPr>
              <w:t>Sistemlerin daha verimli çalışmasını sağlayacak çalışmalarda bulunmak.</w:t>
            </w:r>
            <w:r w:rsidR="00921CB9" w:rsidRPr="00A14330">
              <w:rPr>
                <w:rFonts w:ascii="Cambria" w:hAnsi="Cambria"/>
              </w:rPr>
              <w:t xml:space="preserve"> </w:t>
            </w:r>
          </w:p>
          <w:p w:rsidR="00C44FB9" w:rsidRPr="00A14330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A14330">
              <w:rPr>
                <w:rFonts w:ascii="Cambria" w:hAnsi="Cambria"/>
              </w:rPr>
              <w:t xml:space="preserve">Görevleriyle ilgili evrak, taşınır ve taşınmaz malları korumak, saklamak. </w:t>
            </w:r>
          </w:p>
          <w:p w:rsidR="00C44FB9" w:rsidRPr="00A14330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A14330">
              <w:rPr>
                <w:rFonts w:ascii="Cambria" w:hAnsi="Cambria"/>
              </w:rPr>
              <w:t xml:space="preserve">İş hacmi yoğun olan birimlere, amirin saptayacağı esaslara göre yardımcı olmak. </w:t>
            </w:r>
          </w:p>
          <w:p w:rsidR="003A00AE" w:rsidRPr="00A14330" w:rsidRDefault="003A00AE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A14330">
              <w:rPr>
                <w:rFonts w:ascii="Cambria" w:hAnsi="Cambria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A14330">
              <w:rPr>
                <w:rFonts w:ascii="Cambria" w:hAnsi="Cambria"/>
              </w:rPr>
              <w:t>prosedürlerine</w:t>
            </w:r>
            <w:proofErr w:type="gramEnd"/>
            <w:r w:rsidRPr="00A14330">
              <w:rPr>
                <w:rFonts w:ascii="Cambria" w:hAnsi="Cambria"/>
              </w:rPr>
              <w:t xml:space="preserve"> uygun olarak yürütmek,</w:t>
            </w:r>
          </w:p>
          <w:p w:rsidR="00100B02" w:rsidRPr="00A14330" w:rsidRDefault="003A00AE" w:rsidP="00D601D1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A14330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</w:t>
            </w:r>
            <w:r w:rsidR="00100B02" w:rsidRPr="00A14330">
              <w:rPr>
                <w:rFonts w:ascii="Cambria" w:hAnsi="Cambria"/>
              </w:rPr>
              <w:t>.</w:t>
            </w:r>
            <w:r w:rsidR="00D601D1" w:rsidRPr="00A14330">
              <w:rPr>
                <w:rFonts w:ascii="Cambria" w:hAnsi="Cambria"/>
              </w:rPr>
              <w:t xml:space="preserve"> </w:t>
            </w:r>
          </w:p>
          <w:p w:rsidR="00C44FB9" w:rsidRPr="00A14330" w:rsidRDefault="00D601D1" w:rsidP="0020174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A14330">
              <w:rPr>
                <w:rFonts w:ascii="Cambria" w:hAnsi="Cambria"/>
              </w:rPr>
              <w:t xml:space="preserve">Bağlı olduğu süreç ile üst yöneticileri tarafından verilen diğer iş ve işlemleri yapmak. </w:t>
            </w:r>
          </w:p>
          <w:p w:rsidR="00F1657F" w:rsidRPr="00A14330" w:rsidRDefault="00F1657F" w:rsidP="004E2699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A14330">
              <w:rPr>
                <w:rFonts w:ascii="Cambria" w:hAnsi="Cambria"/>
              </w:rPr>
              <w:t>657 sayılı Devlet Memurları Kanununda belirtilen sorumlukları yerine getirmek.</w:t>
            </w:r>
          </w:p>
          <w:p w:rsidR="0096625E" w:rsidRPr="00A14330" w:rsidRDefault="00F1657F" w:rsidP="00661A92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A14330">
              <w:rPr>
                <w:rFonts w:ascii="Cambria" w:hAnsi="Cambria"/>
              </w:rPr>
              <w:t>Teknik i</w:t>
            </w:r>
            <w:r w:rsidR="008F7FB2" w:rsidRPr="00A14330">
              <w:rPr>
                <w:rFonts w:ascii="Cambria" w:hAnsi="Cambria"/>
              </w:rPr>
              <w:t>şle</w:t>
            </w:r>
            <w:r w:rsidRPr="00A14330">
              <w:rPr>
                <w:rFonts w:ascii="Cambria" w:hAnsi="Cambria"/>
              </w:rPr>
              <w:t>r</w:t>
            </w:r>
            <w:r w:rsidR="00CA0AB3" w:rsidRPr="00A14330">
              <w:rPr>
                <w:rFonts w:ascii="Cambria" w:hAnsi="Cambria"/>
              </w:rPr>
              <w:t xml:space="preserve"> p</w:t>
            </w:r>
            <w:r w:rsidR="008F7FB2" w:rsidRPr="00A14330">
              <w:rPr>
                <w:rFonts w:ascii="Cambria" w:hAnsi="Cambria"/>
              </w:rPr>
              <w:t>ersoneli</w:t>
            </w:r>
            <w:r w:rsidR="00D601D1" w:rsidRPr="00A14330">
              <w:rPr>
                <w:rFonts w:ascii="Cambria" w:hAnsi="Cambria"/>
              </w:rPr>
              <w:t>,</w:t>
            </w:r>
            <w:r w:rsidR="00D601D1" w:rsidRPr="00A14330">
              <w:rPr>
                <w:rFonts w:ascii="Cambria" w:hAnsi="Cambria" w:cs="Times New Roman"/>
              </w:rPr>
              <w:t xml:space="preserve"> görev alanı itibariyle yürütmekle yükümlü bulunduğu hizmetlerin yerine getirilmesinden</w:t>
            </w:r>
            <w:r w:rsidR="00D601D1" w:rsidRPr="00A14330">
              <w:rPr>
                <w:rFonts w:ascii="Cambria" w:hAnsi="Cambria"/>
                <w:bCs/>
              </w:rPr>
              <w:t xml:space="preserve"> ve</w:t>
            </w:r>
            <w:r w:rsidR="00003AB5" w:rsidRPr="00A14330">
              <w:rPr>
                <w:rFonts w:ascii="Cambria" w:hAnsi="Cambria"/>
                <w:bCs/>
              </w:rPr>
              <w:t xml:space="preserve"> yukarıda</w:t>
            </w:r>
            <w:r w:rsidR="00003AB5" w:rsidRPr="00A14330">
              <w:rPr>
                <w:rFonts w:ascii="Cambria" w:hAnsi="Cambria"/>
              </w:rPr>
              <w:t xml:space="preserve"> yazılı olan bütün bu görevleri kanunlara ve yönetmeliklere uygun olarak yerine getir</w:t>
            </w:r>
            <w:r w:rsidR="00D601D1" w:rsidRPr="00A14330">
              <w:rPr>
                <w:rFonts w:ascii="Cambria" w:hAnsi="Cambria"/>
              </w:rPr>
              <w:t>mekten</w:t>
            </w:r>
            <w:r w:rsidR="00003AB5" w:rsidRPr="00A14330">
              <w:rPr>
                <w:rFonts w:ascii="Cambria" w:hAnsi="Cambria"/>
              </w:rPr>
              <w:t xml:space="preserve"> Fakülte Sekreterine, </w:t>
            </w:r>
            <w:r w:rsidR="00070C3B" w:rsidRPr="00A14330">
              <w:rPr>
                <w:rFonts w:ascii="Cambria" w:hAnsi="Cambria"/>
              </w:rPr>
              <w:t>Dekan</w:t>
            </w:r>
            <w:r w:rsidR="00661A92">
              <w:rPr>
                <w:rFonts w:ascii="Cambria" w:hAnsi="Cambria"/>
              </w:rPr>
              <w:t xml:space="preserve"> Yardımcısına ve </w:t>
            </w:r>
            <w:bookmarkStart w:id="0" w:name="_GoBack"/>
            <w:bookmarkEnd w:id="0"/>
            <w:r w:rsidR="00003AB5" w:rsidRPr="00A14330">
              <w:rPr>
                <w:rFonts w:ascii="Cambria" w:hAnsi="Cambria"/>
              </w:rPr>
              <w:t xml:space="preserve">Dekana karşı sorumludur. </w:t>
            </w:r>
          </w:p>
        </w:tc>
      </w:tr>
    </w:tbl>
    <w:p w:rsidR="00033FAA" w:rsidRPr="00DE498A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DE498A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A54008" w:rsidRPr="00DE498A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DE498A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DE498A">
        <w:rPr>
          <w:rFonts w:ascii="Cambria" w:hAnsi="Cambria"/>
          <w:b/>
          <w:bCs/>
          <w:color w:val="002060"/>
        </w:rPr>
        <w:t>REVİZYON BİLGİLERİ</w:t>
      </w: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DE498A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lastRenderedPageBreak/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lastRenderedPageBreak/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lastRenderedPageBreak/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lastRenderedPageBreak/>
              <w:t>Revizyon Açıklaması</w:t>
            </w:r>
          </w:p>
        </w:tc>
      </w:tr>
      <w:tr w:rsidR="00BC7571" w:rsidRPr="00DE498A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DE498A">
              <w:rPr>
                <w:rFonts w:ascii="Cambria" w:hAnsi="Cambria"/>
                <w:b w:val="0"/>
              </w:rPr>
              <w:lastRenderedPageBreak/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İlk yayın.</w:t>
            </w:r>
          </w:p>
        </w:tc>
      </w:tr>
    </w:tbl>
    <w:p w:rsidR="00BC7571" w:rsidRPr="00DE498A" w:rsidRDefault="00BC7571" w:rsidP="00BC7571">
      <w:pPr>
        <w:pStyle w:val="AralkYok"/>
        <w:rPr>
          <w:rFonts w:ascii="Cambria" w:hAnsi="Cambria"/>
        </w:rPr>
      </w:pP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sectPr w:rsidR="00BC7571" w:rsidRPr="00DE498A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483" w:rsidRDefault="00737483" w:rsidP="00534F7F">
      <w:pPr>
        <w:spacing w:after="0" w:line="240" w:lineRule="auto"/>
      </w:pPr>
      <w:r>
        <w:separator/>
      </w:r>
    </w:p>
  </w:endnote>
  <w:endnote w:type="continuationSeparator" w:id="0">
    <w:p w:rsidR="00737483" w:rsidRDefault="0073748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070C3B" w:rsidRPr="0081560B" w:rsidTr="004023B0">
      <w:trPr>
        <w:trHeight w:val="559"/>
      </w:trPr>
      <w:tc>
        <w:tcPr>
          <w:tcW w:w="666" w:type="dxa"/>
        </w:tcPr>
        <w:p w:rsidR="00070C3B" w:rsidRPr="00C4163E" w:rsidRDefault="00070C3B" w:rsidP="00070C3B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070C3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070C3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İktisadi ve İdari Bilimler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Kınıklı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Yerleşkesi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070C3B" w:rsidRPr="00171789" w:rsidRDefault="00070C3B" w:rsidP="00070C3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70C3B" w:rsidRPr="00171789" w:rsidRDefault="00070C3B" w:rsidP="00070C3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070C3B" w:rsidRPr="0081560B" w:rsidRDefault="00070C3B" w:rsidP="00070C3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070C3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2651-52</w:t>
          </w:r>
        </w:p>
        <w:p w:rsidR="00070C3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iibf@pau.edu.tr</w:t>
          </w:r>
        </w:p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070C3B" w:rsidRPr="0081560B" w:rsidRDefault="00070C3B" w:rsidP="00070C3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61A9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61A9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483" w:rsidRDefault="00737483" w:rsidP="00534F7F">
      <w:pPr>
        <w:spacing w:after="0" w:line="240" w:lineRule="auto"/>
      </w:pPr>
      <w:r>
        <w:separator/>
      </w:r>
    </w:p>
  </w:footnote>
  <w:footnote w:type="continuationSeparator" w:id="0">
    <w:p w:rsidR="00737483" w:rsidRDefault="0073748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070C3B" w:rsidTr="00715C4E">
      <w:trPr>
        <w:trHeight w:val="189"/>
      </w:trPr>
      <w:tc>
        <w:tcPr>
          <w:tcW w:w="2547" w:type="dxa"/>
          <w:vMerge w:val="restart"/>
        </w:tcPr>
        <w:p w:rsidR="00070C3B" w:rsidRDefault="00070C3B" w:rsidP="00070C3B">
          <w:pPr>
            <w:pStyle w:val="stBilgi"/>
            <w:ind w:left="-115" w:right="-110"/>
          </w:pPr>
          <w:r>
            <w:rPr>
              <w:noProof/>
              <w:color w:val="0000FF"/>
              <w:lang w:eastAsia="tr-TR"/>
            </w:rPr>
            <w:drawing>
              <wp:inline distT="0" distB="0" distL="0" distR="0" wp14:anchorId="785E6AE4" wp14:editId="5937B0DA">
                <wp:extent cx="933450" cy="676275"/>
                <wp:effectExtent l="0" t="0" r="0" b="9525"/>
                <wp:docPr id="1" name="irc_mi" descr="pamukkale üniversitesi logo ile ilgili görsel sonucu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pamukkale üniversitesi logo ile ilgili görsel sonucu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070C3B" w:rsidRPr="0092378E" w:rsidRDefault="00070C3B" w:rsidP="00070C3B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 xml:space="preserve">GÖREV </w:t>
          </w:r>
          <w:r>
            <w:rPr>
              <w:rFonts w:ascii="Cambria" w:hAnsi="Cambria"/>
              <w:b/>
              <w:color w:val="002060"/>
            </w:rPr>
            <w:t xml:space="preserve">TANIMI          </w:t>
          </w:r>
          <w:r>
            <w:rPr>
              <w:rFonts w:ascii="Arial" w:hAnsi="Arial" w:cs="Arial"/>
              <w:noProof/>
              <w:color w:val="337AB7"/>
              <w:sz w:val="19"/>
              <w:szCs w:val="19"/>
              <w:lang w:eastAsia="tr-TR"/>
            </w:rPr>
            <w:drawing>
              <wp:inline distT="0" distB="0" distL="0" distR="0" wp14:anchorId="48887722" wp14:editId="364F2852">
                <wp:extent cx="381000" cy="666750"/>
                <wp:effectExtent l="0" t="0" r="0" b="0"/>
                <wp:docPr id="10" name="ctl00_cphBolge1_ctl00_iSiteLogo" descr="http://stumpffi.pau.edu.tr/siteler/iibf/logo/logoTR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cphBolge1_ctl00_iSiteLogo" descr="http://stumpffi.pau.edu.tr/siteler/iibf/logo/logoTR.png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070C3B" w:rsidRPr="0092378E" w:rsidRDefault="00070C3B" w:rsidP="00070C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070C3B" w:rsidRPr="00171789" w:rsidRDefault="00BF4AB4" w:rsidP="00070C3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GRT-0017</w:t>
          </w:r>
        </w:p>
      </w:tc>
    </w:tr>
    <w:tr w:rsidR="00070C3B" w:rsidTr="00715C4E">
      <w:trPr>
        <w:trHeight w:val="187"/>
      </w:trPr>
      <w:tc>
        <w:tcPr>
          <w:tcW w:w="2547" w:type="dxa"/>
          <w:vMerge/>
        </w:tcPr>
        <w:p w:rsidR="00070C3B" w:rsidRDefault="00070C3B" w:rsidP="00070C3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070C3B" w:rsidRDefault="00070C3B" w:rsidP="00070C3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070C3B" w:rsidRPr="0092378E" w:rsidRDefault="00070C3B" w:rsidP="00070C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070C3B" w:rsidRPr="00171789" w:rsidRDefault="00070C3B" w:rsidP="00070C3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08.10.2019</w:t>
          </w:r>
        </w:p>
      </w:tc>
    </w:tr>
    <w:tr w:rsidR="00070C3B" w:rsidTr="00715C4E">
      <w:trPr>
        <w:trHeight w:val="187"/>
      </w:trPr>
      <w:tc>
        <w:tcPr>
          <w:tcW w:w="2547" w:type="dxa"/>
          <w:vMerge/>
        </w:tcPr>
        <w:p w:rsidR="00070C3B" w:rsidRDefault="00070C3B" w:rsidP="00070C3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070C3B" w:rsidRDefault="00070C3B" w:rsidP="00070C3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070C3B" w:rsidRPr="0092378E" w:rsidRDefault="00070C3B" w:rsidP="00070C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070C3B" w:rsidRPr="00171789" w:rsidRDefault="00070C3B" w:rsidP="00070C3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070C3B" w:rsidTr="00715C4E">
      <w:trPr>
        <w:trHeight w:val="220"/>
      </w:trPr>
      <w:tc>
        <w:tcPr>
          <w:tcW w:w="2547" w:type="dxa"/>
          <w:vMerge/>
        </w:tcPr>
        <w:p w:rsidR="00070C3B" w:rsidRDefault="00070C3B" w:rsidP="00070C3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070C3B" w:rsidRDefault="00070C3B" w:rsidP="00070C3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070C3B" w:rsidRPr="0092378E" w:rsidRDefault="00070C3B" w:rsidP="00070C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070C3B" w:rsidRPr="00171789" w:rsidRDefault="00070C3B" w:rsidP="00070C3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6E9"/>
    <w:multiLevelType w:val="hybridMultilevel"/>
    <w:tmpl w:val="59A4788E"/>
    <w:lvl w:ilvl="0" w:tplc="041F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  <w:color w:val="333333"/>
        <w:sz w:val="21"/>
      </w:rPr>
    </w:lvl>
    <w:lvl w:ilvl="1" w:tplc="041F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CE7969"/>
    <w:multiLevelType w:val="hybridMultilevel"/>
    <w:tmpl w:val="0C56BEC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10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AB5"/>
    <w:rsid w:val="00010BAA"/>
    <w:rsid w:val="00030824"/>
    <w:rsid w:val="00033FAA"/>
    <w:rsid w:val="00043B4B"/>
    <w:rsid w:val="0004799F"/>
    <w:rsid w:val="00061C19"/>
    <w:rsid w:val="0006777C"/>
    <w:rsid w:val="00070C3B"/>
    <w:rsid w:val="000C04CC"/>
    <w:rsid w:val="00100B02"/>
    <w:rsid w:val="0013037B"/>
    <w:rsid w:val="00164950"/>
    <w:rsid w:val="0016547C"/>
    <w:rsid w:val="00167ACC"/>
    <w:rsid w:val="00172ADA"/>
    <w:rsid w:val="001842CA"/>
    <w:rsid w:val="001C2C4E"/>
    <w:rsid w:val="001E4576"/>
    <w:rsid w:val="001F6791"/>
    <w:rsid w:val="00227827"/>
    <w:rsid w:val="0023302F"/>
    <w:rsid w:val="00236E1E"/>
    <w:rsid w:val="002518A7"/>
    <w:rsid w:val="0026786F"/>
    <w:rsid w:val="00290775"/>
    <w:rsid w:val="0029582D"/>
    <w:rsid w:val="002B2944"/>
    <w:rsid w:val="002B3AA0"/>
    <w:rsid w:val="002C0A2B"/>
    <w:rsid w:val="002E7330"/>
    <w:rsid w:val="0032238E"/>
    <w:rsid w:val="003230A8"/>
    <w:rsid w:val="003303FE"/>
    <w:rsid w:val="00341062"/>
    <w:rsid w:val="003617EF"/>
    <w:rsid w:val="00393BCE"/>
    <w:rsid w:val="003A00AE"/>
    <w:rsid w:val="003C2817"/>
    <w:rsid w:val="004023B0"/>
    <w:rsid w:val="00476742"/>
    <w:rsid w:val="004D6EB8"/>
    <w:rsid w:val="004F27F3"/>
    <w:rsid w:val="004F7F38"/>
    <w:rsid w:val="00521058"/>
    <w:rsid w:val="00532585"/>
    <w:rsid w:val="00533038"/>
    <w:rsid w:val="00534F7F"/>
    <w:rsid w:val="00551B24"/>
    <w:rsid w:val="0055738B"/>
    <w:rsid w:val="00565BFA"/>
    <w:rsid w:val="005801B2"/>
    <w:rsid w:val="00586A9C"/>
    <w:rsid w:val="005B5AD0"/>
    <w:rsid w:val="005B6D4E"/>
    <w:rsid w:val="005D0A2B"/>
    <w:rsid w:val="006040B2"/>
    <w:rsid w:val="006159E8"/>
    <w:rsid w:val="0061636C"/>
    <w:rsid w:val="0062150D"/>
    <w:rsid w:val="00627720"/>
    <w:rsid w:val="006325A7"/>
    <w:rsid w:val="006355A1"/>
    <w:rsid w:val="00635A92"/>
    <w:rsid w:val="0064705C"/>
    <w:rsid w:val="00661A92"/>
    <w:rsid w:val="00682605"/>
    <w:rsid w:val="00682A32"/>
    <w:rsid w:val="006C40E1"/>
    <w:rsid w:val="006C7D11"/>
    <w:rsid w:val="006D3B1F"/>
    <w:rsid w:val="00706420"/>
    <w:rsid w:val="00714096"/>
    <w:rsid w:val="00715C4E"/>
    <w:rsid w:val="00726038"/>
    <w:rsid w:val="007304E0"/>
    <w:rsid w:val="0073606C"/>
    <w:rsid w:val="00737483"/>
    <w:rsid w:val="0075616C"/>
    <w:rsid w:val="00775EA7"/>
    <w:rsid w:val="00775F29"/>
    <w:rsid w:val="00795A9E"/>
    <w:rsid w:val="007B0CFD"/>
    <w:rsid w:val="007D4382"/>
    <w:rsid w:val="00801948"/>
    <w:rsid w:val="00810A48"/>
    <w:rsid w:val="00821880"/>
    <w:rsid w:val="00830A95"/>
    <w:rsid w:val="0085535D"/>
    <w:rsid w:val="0086003A"/>
    <w:rsid w:val="008D371C"/>
    <w:rsid w:val="008F72C2"/>
    <w:rsid w:val="008F7FB2"/>
    <w:rsid w:val="00921CB9"/>
    <w:rsid w:val="00925929"/>
    <w:rsid w:val="00927462"/>
    <w:rsid w:val="00942091"/>
    <w:rsid w:val="0096625E"/>
    <w:rsid w:val="009B6181"/>
    <w:rsid w:val="009C1368"/>
    <w:rsid w:val="009C4E64"/>
    <w:rsid w:val="00A125A4"/>
    <w:rsid w:val="00A14330"/>
    <w:rsid w:val="00A22546"/>
    <w:rsid w:val="00A354CE"/>
    <w:rsid w:val="00A45E0C"/>
    <w:rsid w:val="00A54008"/>
    <w:rsid w:val="00A83390"/>
    <w:rsid w:val="00B06EC8"/>
    <w:rsid w:val="00B628D2"/>
    <w:rsid w:val="00B67624"/>
    <w:rsid w:val="00B912E6"/>
    <w:rsid w:val="00B94075"/>
    <w:rsid w:val="00BC05F6"/>
    <w:rsid w:val="00BC7571"/>
    <w:rsid w:val="00BC7F23"/>
    <w:rsid w:val="00BF4AB4"/>
    <w:rsid w:val="00BF6E43"/>
    <w:rsid w:val="00C305C2"/>
    <w:rsid w:val="00C34C44"/>
    <w:rsid w:val="00C44FB9"/>
    <w:rsid w:val="00C53C77"/>
    <w:rsid w:val="00C955E9"/>
    <w:rsid w:val="00CA0AB3"/>
    <w:rsid w:val="00CB6A3F"/>
    <w:rsid w:val="00D1112B"/>
    <w:rsid w:val="00D23714"/>
    <w:rsid w:val="00D34F0E"/>
    <w:rsid w:val="00D35A4A"/>
    <w:rsid w:val="00D55A65"/>
    <w:rsid w:val="00D601D1"/>
    <w:rsid w:val="00D65310"/>
    <w:rsid w:val="00D81583"/>
    <w:rsid w:val="00DA02AE"/>
    <w:rsid w:val="00DC0632"/>
    <w:rsid w:val="00DD51A4"/>
    <w:rsid w:val="00DE498A"/>
    <w:rsid w:val="00DE7DA1"/>
    <w:rsid w:val="00E13F11"/>
    <w:rsid w:val="00E3436C"/>
    <w:rsid w:val="00E36113"/>
    <w:rsid w:val="00E522EB"/>
    <w:rsid w:val="00E855B7"/>
    <w:rsid w:val="00E87FEE"/>
    <w:rsid w:val="00EB6FF1"/>
    <w:rsid w:val="00EC0A1D"/>
    <w:rsid w:val="00EC6617"/>
    <w:rsid w:val="00ED61D4"/>
    <w:rsid w:val="00EE3346"/>
    <w:rsid w:val="00F06511"/>
    <w:rsid w:val="00F1657F"/>
    <w:rsid w:val="00F544B4"/>
    <w:rsid w:val="00F54A4F"/>
    <w:rsid w:val="00F67FA0"/>
    <w:rsid w:val="00F94C46"/>
    <w:rsid w:val="00FA44F5"/>
    <w:rsid w:val="00FA6D95"/>
    <w:rsid w:val="00FC3E69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A5BA8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CB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F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u.edu.tr/iibf/t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tr/url?sa=i&amp;rct=j&amp;q=&amp;esrc=s&amp;source=images&amp;cd=&amp;ved=0ahUKEwj2q_yIgPfUAhVIJ5oKHZJ-D40QjRwIBw&amp;url=http://www.universiteyurtlari.com/tr/universite-bilgileri/83/pamukkale-universitesi.html&amp;psig=AFQjCNE_vJoYVdP_D9BUI56ckb7DiW_R0A&amp;ust=1499511039997805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Pau</cp:lastModifiedBy>
  <cp:revision>8</cp:revision>
  <dcterms:created xsi:type="dcterms:W3CDTF">2019-10-24T06:47:00Z</dcterms:created>
  <dcterms:modified xsi:type="dcterms:W3CDTF">2019-10-28T07:19:00Z</dcterms:modified>
</cp:coreProperties>
</file>