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E7" w:rsidRDefault="00EF20E7" w:rsidP="00351A91">
      <w:pPr>
        <w:ind w:left="708"/>
        <w:rPr>
          <w:noProof/>
          <w:color w:val="1F4E79" w:themeColor="accent1" w:themeShade="80"/>
          <w:sz w:val="44"/>
          <w:szCs w:val="44"/>
          <w:lang w:eastAsia="tr-TR"/>
        </w:rPr>
      </w:pPr>
      <w:r>
        <w:rPr>
          <w:noProof/>
          <w:color w:val="1F4E79" w:themeColor="accent1" w:themeShade="80"/>
          <w:sz w:val="44"/>
          <w:szCs w:val="44"/>
          <w:lang w:eastAsia="tr-TR"/>
        </w:rPr>
        <w:t xml:space="preserve">      </w:t>
      </w:r>
      <w:r w:rsidR="00B45559">
        <w:rPr>
          <w:noProof/>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Pr>
          <w:noProof/>
          <w:color w:val="1F4E79" w:themeColor="accent1" w:themeShade="80"/>
          <w:sz w:val="44"/>
          <w:szCs w:val="44"/>
          <w:lang w:eastAsia="tr-TR"/>
        </w:rPr>
        <w:t xml:space="preserve"> </w:t>
      </w:r>
      <w:r w:rsidR="00B45559">
        <w:rPr>
          <w:noProof/>
          <w:color w:val="1F4E79" w:themeColor="accent1" w:themeShade="80"/>
          <w:sz w:val="44"/>
          <w:szCs w:val="44"/>
          <w:lang w:eastAsia="tr-TR"/>
        </w:rPr>
        <w:t xml:space="preserve">      </w:t>
      </w:r>
      <w:r>
        <w:rPr>
          <w:noProof/>
          <w:color w:val="1F4E79" w:themeColor="accent1" w:themeShade="80"/>
          <w:sz w:val="44"/>
          <w:szCs w:val="44"/>
          <w:lang w:eastAsia="tr-TR"/>
        </w:rPr>
        <w:t xml:space="preserve"> </w:t>
      </w:r>
      <w:r w:rsidR="00B45559">
        <w:rPr>
          <w:noProof/>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Pr>
          <w:noProof/>
          <w:color w:val="1F4E79" w:themeColor="accent1" w:themeShade="80"/>
          <w:sz w:val="44"/>
          <w:szCs w:val="44"/>
          <w:lang w:eastAsia="tr-TR"/>
        </w:rPr>
        <w:t xml:space="preserve">         </w:t>
      </w:r>
      <w:r w:rsidR="00B45559">
        <w:rPr>
          <w:noProof/>
          <w:lang w:eastAsia="tr-TR"/>
        </w:rPr>
        <w:drawing>
          <wp:inline distT="0" distB="0" distL="0" distR="0" wp14:anchorId="29A7E1F6" wp14:editId="28945629">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Pr>
          <w:noProof/>
          <w:color w:val="1F4E79" w:themeColor="accent1" w:themeShade="80"/>
          <w:sz w:val="44"/>
          <w:szCs w:val="44"/>
          <w:lang w:eastAsia="tr-TR"/>
        </w:rPr>
        <w:t xml:space="preserve">                       </w:t>
      </w:r>
    </w:p>
    <w:p w:rsidR="00242DEE" w:rsidRPr="00EC64F8" w:rsidRDefault="000C37E5" w:rsidP="00EC64F8">
      <w:pPr>
        <w:jc w:val="center"/>
        <w:rPr>
          <w:rFonts w:ascii="Arial" w:hAnsi="Arial" w:cs="Arial"/>
          <w:noProof/>
          <w:color w:val="1F4E79" w:themeColor="accent1" w:themeShade="80"/>
          <w:sz w:val="28"/>
          <w:szCs w:val="32"/>
          <w:lang w:eastAsia="tr-TR"/>
        </w:rPr>
      </w:pPr>
      <w:r w:rsidRPr="00EC64F8">
        <w:rPr>
          <w:rFonts w:ascii="Arial" w:hAnsi="Arial" w:cs="Arial"/>
          <w:b/>
          <w:noProof/>
          <w:color w:val="1F4E79" w:themeColor="accent1" w:themeShade="80"/>
          <w:sz w:val="28"/>
          <w:szCs w:val="32"/>
          <w:u w:val="single"/>
          <w:lang w:eastAsia="tr-TR"/>
        </w:rPr>
        <w:t>2022-2023</w:t>
      </w:r>
      <w:r w:rsidR="00953B2E" w:rsidRPr="00EC64F8">
        <w:rPr>
          <w:rFonts w:ascii="Arial" w:hAnsi="Arial" w:cs="Arial"/>
          <w:b/>
          <w:noProof/>
          <w:color w:val="1F4E79" w:themeColor="accent1" w:themeShade="80"/>
          <w:sz w:val="28"/>
          <w:szCs w:val="32"/>
          <w:u w:val="single"/>
          <w:lang w:eastAsia="tr-TR"/>
        </w:rPr>
        <w:t xml:space="preserve"> </w:t>
      </w:r>
      <w:r w:rsidR="00801E83" w:rsidRPr="00EC64F8">
        <w:rPr>
          <w:rFonts w:ascii="Arial" w:hAnsi="Arial" w:cs="Arial"/>
          <w:b/>
          <w:noProof/>
          <w:color w:val="1F4E79" w:themeColor="accent1" w:themeShade="80"/>
          <w:sz w:val="28"/>
          <w:szCs w:val="32"/>
          <w:u w:val="single"/>
          <w:lang w:eastAsia="tr-TR"/>
        </w:rPr>
        <w:t>AKADEMİK YILI İÇİN</w:t>
      </w:r>
      <w:r w:rsidR="00B41653" w:rsidRPr="00EC64F8">
        <w:rPr>
          <w:rFonts w:ascii="Arial" w:hAnsi="Arial" w:cs="Arial"/>
          <w:b/>
          <w:noProof/>
          <w:color w:val="1F4E79" w:themeColor="accent1" w:themeShade="80"/>
          <w:sz w:val="28"/>
          <w:szCs w:val="32"/>
          <w:u w:val="single"/>
          <w:lang w:eastAsia="tr-TR"/>
        </w:rPr>
        <w:t xml:space="preserve"> ERASMUS+</w:t>
      </w:r>
      <w:r w:rsidR="00801E83" w:rsidRPr="00EC64F8">
        <w:rPr>
          <w:rFonts w:ascii="Arial" w:hAnsi="Arial" w:cs="Arial"/>
          <w:b/>
          <w:noProof/>
          <w:color w:val="1F4E79" w:themeColor="accent1" w:themeShade="80"/>
          <w:sz w:val="28"/>
          <w:szCs w:val="32"/>
          <w:u w:val="single"/>
          <w:lang w:eastAsia="tr-TR"/>
        </w:rPr>
        <w:t xml:space="preserve"> </w:t>
      </w:r>
      <w:r w:rsidR="00351A91" w:rsidRPr="00EC64F8">
        <w:rPr>
          <w:rFonts w:ascii="Arial" w:hAnsi="Arial" w:cs="Arial"/>
          <w:b/>
          <w:noProof/>
          <w:color w:val="1F4E79" w:themeColor="accent1" w:themeShade="80"/>
          <w:sz w:val="28"/>
          <w:szCs w:val="32"/>
          <w:u w:val="single"/>
          <w:lang w:eastAsia="tr-TR"/>
        </w:rPr>
        <w:t>Ö</w:t>
      </w:r>
      <w:r w:rsidR="00953B2E" w:rsidRPr="00EC64F8">
        <w:rPr>
          <w:rFonts w:ascii="Arial" w:hAnsi="Arial" w:cs="Arial"/>
          <w:b/>
          <w:noProof/>
          <w:color w:val="1F4E79" w:themeColor="accent1" w:themeShade="80"/>
          <w:sz w:val="28"/>
          <w:szCs w:val="32"/>
          <w:u w:val="single"/>
          <w:lang w:eastAsia="tr-TR"/>
        </w:rPr>
        <w:t>ĞRENİM HAREKETLİLİĞİ İLANI</w:t>
      </w:r>
    </w:p>
    <w:p w:rsidR="00351A91" w:rsidRPr="00EC64F8" w:rsidRDefault="00351A91" w:rsidP="00E7547F">
      <w:pPr>
        <w:pStyle w:val="Default"/>
        <w:jc w:val="both"/>
        <w:rPr>
          <w:sz w:val="22"/>
          <w:szCs w:val="22"/>
        </w:rPr>
      </w:pPr>
      <w:proofErr w:type="spellStart"/>
      <w:r w:rsidRPr="00EC64F8">
        <w:rPr>
          <w:sz w:val="22"/>
          <w:szCs w:val="22"/>
        </w:rPr>
        <w:t>Er</w:t>
      </w:r>
      <w:r w:rsidR="002B35AE" w:rsidRPr="00EC64F8">
        <w:rPr>
          <w:sz w:val="22"/>
          <w:szCs w:val="22"/>
        </w:rPr>
        <w:t>asmus</w:t>
      </w:r>
      <w:proofErr w:type="spellEnd"/>
      <w:r w:rsidR="0074200E" w:rsidRPr="00EC64F8">
        <w:rPr>
          <w:sz w:val="22"/>
          <w:szCs w:val="22"/>
        </w:rPr>
        <w:t xml:space="preserve">+ </w:t>
      </w:r>
      <w:r w:rsidR="00EC64F8" w:rsidRPr="00EC64F8">
        <w:rPr>
          <w:sz w:val="22"/>
          <w:szCs w:val="22"/>
        </w:rPr>
        <w:t xml:space="preserve">2021-1-TR01-KA131-HED-000003417 </w:t>
      </w:r>
      <w:r w:rsidR="0074200E" w:rsidRPr="00EC64F8">
        <w:rPr>
          <w:sz w:val="22"/>
          <w:szCs w:val="22"/>
        </w:rPr>
        <w:t>Pro</w:t>
      </w:r>
      <w:r w:rsidR="00EC64F8" w:rsidRPr="00EC64F8">
        <w:rPr>
          <w:sz w:val="22"/>
          <w:szCs w:val="22"/>
        </w:rPr>
        <w:t>jesi</w:t>
      </w:r>
      <w:r w:rsidR="0074200E" w:rsidRPr="00EC64F8">
        <w:rPr>
          <w:sz w:val="22"/>
          <w:szCs w:val="22"/>
        </w:rPr>
        <w:t xml:space="preserve"> kapsamında </w:t>
      </w:r>
      <w:r w:rsidR="000C37E5" w:rsidRPr="00EC64F8">
        <w:rPr>
          <w:sz w:val="22"/>
          <w:szCs w:val="22"/>
        </w:rPr>
        <w:t>2022-2023</w:t>
      </w:r>
      <w:r w:rsidRPr="00EC64F8">
        <w:rPr>
          <w:sz w:val="22"/>
          <w:szCs w:val="22"/>
        </w:rPr>
        <w:t xml:space="preserve"> akademik yılı </w:t>
      </w:r>
      <w:r w:rsidR="00801E83" w:rsidRPr="00EC64F8">
        <w:rPr>
          <w:sz w:val="22"/>
          <w:szCs w:val="22"/>
        </w:rPr>
        <w:t xml:space="preserve">için </w:t>
      </w:r>
      <w:r w:rsidRPr="00EC64F8">
        <w:rPr>
          <w:sz w:val="22"/>
          <w:szCs w:val="22"/>
        </w:rPr>
        <w:t xml:space="preserve">Öğrenci Öğrenim Hareketliliği çerçevesinde Üniversitemizden hareketliliğe katılmak isteyen öğrencilerimize duyurulmak üzere hazırlanan ilan metni aşağıda sunulmuştur. </w:t>
      </w:r>
    </w:p>
    <w:p w:rsidR="00EC2E0C" w:rsidRPr="00EC64F8" w:rsidRDefault="00EC2E0C" w:rsidP="00801E83">
      <w:pPr>
        <w:pStyle w:val="Default"/>
        <w:jc w:val="both"/>
        <w:rPr>
          <w:sz w:val="28"/>
          <w:szCs w:val="28"/>
        </w:rPr>
      </w:pPr>
    </w:p>
    <w:p w:rsidR="00504042" w:rsidRPr="00EC64F8" w:rsidRDefault="00504042" w:rsidP="00801E83">
      <w:pPr>
        <w:pStyle w:val="Default"/>
        <w:jc w:val="both"/>
        <w:rPr>
          <w:sz w:val="28"/>
          <w:szCs w:val="28"/>
        </w:rPr>
      </w:pPr>
      <w:r w:rsidRPr="00EC64F8">
        <w:rPr>
          <w:b/>
          <w:color w:val="2E74B5" w:themeColor="accent1" w:themeShade="BF"/>
          <w:sz w:val="28"/>
          <w:szCs w:val="28"/>
          <w:u w:val="single"/>
        </w:rPr>
        <w:t xml:space="preserve">Başvuru  </w:t>
      </w:r>
      <w:proofErr w:type="gramStart"/>
      <w:r w:rsidRPr="00EC64F8">
        <w:rPr>
          <w:b/>
          <w:color w:val="2E74B5" w:themeColor="accent1" w:themeShade="BF"/>
          <w:sz w:val="28"/>
          <w:szCs w:val="28"/>
          <w:u w:val="single"/>
        </w:rPr>
        <w:t>Koşulları</w:t>
      </w:r>
      <w:r w:rsidRPr="00EC64F8">
        <w:rPr>
          <w:color w:val="2E74B5" w:themeColor="accent1" w:themeShade="BF"/>
          <w:sz w:val="28"/>
          <w:szCs w:val="28"/>
        </w:rPr>
        <w:t xml:space="preserve"> </w:t>
      </w:r>
      <w:r w:rsidRPr="00EC64F8">
        <w:rPr>
          <w:sz w:val="28"/>
          <w:szCs w:val="28"/>
        </w:rPr>
        <w:t>:</w:t>
      </w:r>
      <w:proofErr w:type="gramEnd"/>
    </w:p>
    <w:p w:rsidR="00081787" w:rsidRPr="00EC64F8" w:rsidRDefault="00081787" w:rsidP="00801E83">
      <w:pPr>
        <w:pStyle w:val="Default"/>
        <w:jc w:val="both"/>
        <w:rPr>
          <w:sz w:val="22"/>
          <w:szCs w:val="22"/>
        </w:rPr>
      </w:pPr>
      <w:r w:rsidRPr="00EC64F8">
        <w:rPr>
          <w:b/>
          <w:sz w:val="22"/>
          <w:szCs w:val="22"/>
        </w:rPr>
        <w:t>1-</w:t>
      </w:r>
      <w:r w:rsidRPr="00EC64F8">
        <w:rPr>
          <w:sz w:val="22"/>
          <w:szCs w:val="22"/>
        </w:rPr>
        <w:t xml:space="preserve">Türkiye Cumhuriyeti vatandaşı olmak </w:t>
      </w:r>
    </w:p>
    <w:p w:rsidR="00081787" w:rsidRPr="00EC64F8" w:rsidRDefault="00081787" w:rsidP="00801E83">
      <w:pPr>
        <w:pStyle w:val="Default"/>
        <w:jc w:val="both"/>
        <w:rPr>
          <w:b/>
          <w:sz w:val="22"/>
          <w:szCs w:val="22"/>
        </w:rPr>
      </w:pPr>
      <w:r w:rsidRPr="00EC64F8">
        <w:rPr>
          <w:b/>
          <w:sz w:val="22"/>
          <w:szCs w:val="22"/>
        </w:rPr>
        <w:t>2-</w:t>
      </w:r>
      <w:r w:rsidRPr="00EC64F8">
        <w:rPr>
          <w:sz w:val="22"/>
          <w:szCs w:val="22"/>
        </w:rPr>
        <w:t>Başka ülkelerin vatandaşı olmakla birlikte Türkiye’deki yükseköğretim kurumlarında kayıtlı öğrenci olmak</w:t>
      </w:r>
    </w:p>
    <w:p w:rsidR="00504042" w:rsidRPr="00EC64F8" w:rsidRDefault="00081787" w:rsidP="00801E83">
      <w:pPr>
        <w:pStyle w:val="Default"/>
        <w:jc w:val="both"/>
        <w:rPr>
          <w:sz w:val="22"/>
          <w:szCs w:val="22"/>
        </w:rPr>
      </w:pPr>
      <w:r w:rsidRPr="00EC64F8">
        <w:rPr>
          <w:b/>
          <w:sz w:val="22"/>
          <w:szCs w:val="22"/>
        </w:rPr>
        <w:t>3-</w:t>
      </w:r>
      <w:r w:rsidR="00504042" w:rsidRPr="00EC64F8">
        <w:rPr>
          <w:sz w:val="22"/>
          <w:szCs w:val="22"/>
        </w:rPr>
        <w:t>Öğrencinin Pa</w:t>
      </w:r>
      <w:r w:rsidR="00FB1C75" w:rsidRPr="00EC64F8">
        <w:rPr>
          <w:sz w:val="22"/>
          <w:szCs w:val="22"/>
        </w:rPr>
        <w:t>mukkale Üniversitesi bünyesinde</w:t>
      </w:r>
      <w:r w:rsidR="00504042" w:rsidRPr="00EC64F8">
        <w:rPr>
          <w:sz w:val="22"/>
          <w:szCs w:val="22"/>
        </w:rPr>
        <w:t xml:space="preserve"> örgün eğitim kademelerinin herhangi birinde (birinci, </w:t>
      </w:r>
      <w:r w:rsidR="00AC474F" w:rsidRPr="00EC64F8">
        <w:rPr>
          <w:sz w:val="22"/>
          <w:szCs w:val="22"/>
        </w:rPr>
        <w:t xml:space="preserve">     </w:t>
      </w:r>
      <w:r w:rsidR="00504042" w:rsidRPr="00EC64F8">
        <w:rPr>
          <w:sz w:val="22"/>
          <w:szCs w:val="22"/>
        </w:rPr>
        <w:t>ikinci veya üçüncü kademe) tam zamanlı kayıtlı öğrenci olması, *Yabancı dil hazırlık/ Bilimsel Hazırlık öğrencileri başvuru yapamaz.</w:t>
      </w:r>
    </w:p>
    <w:p w:rsidR="00504042" w:rsidRPr="00EC64F8" w:rsidRDefault="00081787" w:rsidP="00801E83">
      <w:pPr>
        <w:pStyle w:val="Default"/>
        <w:jc w:val="both"/>
        <w:rPr>
          <w:sz w:val="22"/>
          <w:szCs w:val="22"/>
        </w:rPr>
      </w:pPr>
      <w:r w:rsidRPr="00EC64F8">
        <w:rPr>
          <w:b/>
          <w:sz w:val="22"/>
          <w:szCs w:val="22"/>
        </w:rPr>
        <w:t>4</w:t>
      </w:r>
      <w:r w:rsidR="00504042" w:rsidRPr="00EC64F8">
        <w:rPr>
          <w:b/>
          <w:sz w:val="22"/>
          <w:szCs w:val="22"/>
        </w:rPr>
        <w:t>-</w:t>
      </w:r>
      <w:r w:rsidR="00504042" w:rsidRPr="00EC64F8">
        <w:rPr>
          <w:sz w:val="22"/>
          <w:szCs w:val="22"/>
        </w:rPr>
        <w:t xml:space="preserve"> a) Birinci kademe (lisans) öğrencilerinin </w:t>
      </w:r>
      <w:proofErr w:type="gramStart"/>
      <w:r w:rsidR="00504042" w:rsidRPr="00EC64F8">
        <w:rPr>
          <w:sz w:val="22"/>
          <w:szCs w:val="22"/>
        </w:rPr>
        <w:t>kümülatif</w:t>
      </w:r>
      <w:proofErr w:type="gramEnd"/>
      <w:r w:rsidR="00504042" w:rsidRPr="00EC64F8">
        <w:rPr>
          <w:sz w:val="22"/>
          <w:szCs w:val="22"/>
        </w:rPr>
        <w:t xml:space="preserve"> akad</w:t>
      </w:r>
      <w:r w:rsidR="009F18CB" w:rsidRPr="00EC64F8">
        <w:rPr>
          <w:sz w:val="22"/>
          <w:szCs w:val="22"/>
        </w:rPr>
        <w:t>emik not ortalamasının en az 2.5</w:t>
      </w:r>
      <w:r w:rsidR="00504042" w:rsidRPr="00EC64F8">
        <w:rPr>
          <w:sz w:val="22"/>
          <w:szCs w:val="22"/>
        </w:rPr>
        <w:t>0/4.00 olması,</w:t>
      </w:r>
    </w:p>
    <w:p w:rsidR="00504042" w:rsidRPr="00EC64F8" w:rsidRDefault="00504042" w:rsidP="00801E83">
      <w:pPr>
        <w:pStyle w:val="Default"/>
        <w:jc w:val="both"/>
        <w:rPr>
          <w:sz w:val="22"/>
          <w:szCs w:val="22"/>
        </w:rPr>
      </w:pPr>
      <w:r w:rsidRPr="00EC64F8">
        <w:rPr>
          <w:sz w:val="22"/>
          <w:szCs w:val="22"/>
        </w:rPr>
        <w:t xml:space="preserve">    b) İkinci (yüksek lisans) ve üçüncü (doktora</w:t>
      </w:r>
      <w:r w:rsidR="00FB1C75" w:rsidRPr="00EC64F8">
        <w:rPr>
          <w:sz w:val="22"/>
          <w:szCs w:val="22"/>
        </w:rPr>
        <w:t xml:space="preserve"> </w:t>
      </w:r>
      <w:r w:rsidR="00421BD0" w:rsidRPr="00EC64F8">
        <w:rPr>
          <w:sz w:val="22"/>
          <w:szCs w:val="22"/>
        </w:rPr>
        <w:t>tıpta ihtisas</w:t>
      </w:r>
      <w:r w:rsidRPr="00EC64F8">
        <w:rPr>
          <w:sz w:val="22"/>
          <w:szCs w:val="22"/>
        </w:rPr>
        <w:t xml:space="preserve">) kademe öğrencilerinin </w:t>
      </w:r>
      <w:proofErr w:type="gramStart"/>
      <w:r w:rsidRPr="00EC64F8">
        <w:rPr>
          <w:sz w:val="22"/>
          <w:szCs w:val="22"/>
        </w:rPr>
        <w:t>kümülatif</w:t>
      </w:r>
      <w:proofErr w:type="gramEnd"/>
      <w:r w:rsidRPr="00EC64F8">
        <w:rPr>
          <w:sz w:val="22"/>
          <w:szCs w:val="22"/>
        </w:rPr>
        <w:t xml:space="preserve"> akade</w:t>
      </w:r>
      <w:r w:rsidR="009F18CB" w:rsidRPr="00EC64F8">
        <w:rPr>
          <w:sz w:val="22"/>
          <w:szCs w:val="22"/>
        </w:rPr>
        <w:t>mik not ortalamasının en az 3.00</w:t>
      </w:r>
      <w:r w:rsidRPr="00EC64F8">
        <w:rPr>
          <w:sz w:val="22"/>
          <w:szCs w:val="22"/>
        </w:rPr>
        <w:t>/4.00 olması,</w:t>
      </w:r>
    </w:p>
    <w:p w:rsidR="00504042" w:rsidRPr="00EC64F8" w:rsidRDefault="00081787" w:rsidP="00801E83">
      <w:pPr>
        <w:pStyle w:val="Default"/>
        <w:jc w:val="both"/>
        <w:rPr>
          <w:sz w:val="22"/>
          <w:szCs w:val="22"/>
        </w:rPr>
      </w:pPr>
      <w:r w:rsidRPr="00EC64F8">
        <w:rPr>
          <w:b/>
          <w:sz w:val="22"/>
          <w:szCs w:val="22"/>
        </w:rPr>
        <w:t>5</w:t>
      </w:r>
      <w:r w:rsidR="00504042" w:rsidRPr="00EC64F8">
        <w:rPr>
          <w:b/>
          <w:sz w:val="22"/>
          <w:szCs w:val="22"/>
        </w:rPr>
        <w:t>-</w:t>
      </w:r>
      <w:r w:rsidR="00504042" w:rsidRPr="00EC64F8">
        <w:rPr>
          <w:sz w:val="22"/>
          <w:szCs w:val="22"/>
        </w:rPr>
        <w:t xml:space="preserve"> Öğrenim hareketliliği için, öğrencinin faaliyeti gerçekleştireceği dönemde yeterli sayıda ECTS kredi yükü olması (her dönem için 30 </w:t>
      </w:r>
      <w:proofErr w:type="gramStart"/>
      <w:r w:rsidR="00504042" w:rsidRPr="00EC64F8">
        <w:rPr>
          <w:sz w:val="22"/>
          <w:szCs w:val="22"/>
        </w:rPr>
        <w:t>ECTS</w:t>
      </w:r>
      <w:r w:rsidR="00FB1C75" w:rsidRPr="00EC64F8">
        <w:rPr>
          <w:sz w:val="22"/>
          <w:szCs w:val="22"/>
        </w:rPr>
        <w:t xml:space="preserve">  </w:t>
      </w:r>
      <w:r w:rsidRPr="00EC64F8">
        <w:rPr>
          <w:sz w:val="22"/>
          <w:szCs w:val="22"/>
        </w:rPr>
        <w:t>akademik</w:t>
      </w:r>
      <w:proofErr w:type="gramEnd"/>
      <w:r w:rsidRPr="00EC64F8">
        <w:rPr>
          <w:sz w:val="22"/>
          <w:szCs w:val="22"/>
        </w:rPr>
        <w:t xml:space="preserve"> yıl için 60ECTS </w:t>
      </w:r>
      <w:r w:rsidR="00504042" w:rsidRPr="00EC64F8">
        <w:rPr>
          <w:sz w:val="22"/>
          <w:szCs w:val="22"/>
        </w:rPr>
        <w:t xml:space="preserve">) </w:t>
      </w:r>
    </w:p>
    <w:p w:rsidR="00504042" w:rsidRPr="00EC64F8" w:rsidRDefault="00081787" w:rsidP="00801E83">
      <w:pPr>
        <w:pStyle w:val="Default"/>
        <w:jc w:val="both"/>
        <w:rPr>
          <w:sz w:val="22"/>
          <w:szCs w:val="22"/>
        </w:rPr>
      </w:pPr>
      <w:r w:rsidRPr="00EC64F8">
        <w:rPr>
          <w:b/>
          <w:sz w:val="22"/>
          <w:szCs w:val="22"/>
        </w:rPr>
        <w:t>6</w:t>
      </w:r>
      <w:r w:rsidR="00504042" w:rsidRPr="00EC64F8">
        <w:rPr>
          <w:b/>
          <w:sz w:val="22"/>
          <w:szCs w:val="22"/>
        </w:rPr>
        <w:t>-</w:t>
      </w:r>
      <w:r w:rsidR="00504042" w:rsidRPr="00EC64F8">
        <w:rPr>
          <w:sz w:val="22"/>
          <w:szCs w:val="22"/>
        </w:rPr>
        <w:t>Mevcut öğrenim kademesi içerisinde Erasmus+</w:t>
      </w:r>
      <w:r w:rsidR="00FB1C75" w:rsidRPr="00EC64F8">
        <w:rPr>
          <w:sz w:val="22"/>
          <w:szCs w:val="22"/>
        </w:rPr>
        <w:t xml:space="preserve"> </w:t>
      </w:r>
      <w:r w:rsidR="00504042" w:rsidRPr="00EC64F8">
        <w:rPr>
          <w:sz w:val="22"/>
          <w:szCs w:val="22"/>
        </w:rPr>
        <w:t>ve Hayat Boyu Öğrenme (LLP) Dönemimde yükseköğretim hareketliliği</w:t>
      </w:r>
      <w:r w:rsidR="00FB1C75" w:rsidRPr="00EC64F8">
        <w:rPr>
          <w:sz w:val="22"/>
          <w:szCs w:val="22"/>
        </w:rPr>
        <w:t xml:space="preserve"> faaliyetlerinden yararlanmışsa </w:t>
      </w:r>
      <w:r w:rsidR="00504042" w:rsidRPr="00EC64F8">
        <w:rPr>
          <w:sz w:val="22"/>
          <w:szCs w:val="22"/>
        </w:rPr>
        <w:t>yeni faaliyetle beraber toplam sürenin 12 ayı geçmemesi.</w:t>
      </w:r>
    </w:p>
    <w:p w:rsidR="00FD78FE" w:rsidRPr="00EC64F8" w:rsidRDefault="00081787" w:rsidP="00801E83">
      <w:pPr>
        <w:pStyle w:val="Default"/>
        <w:jc w:val="both"/>
        <w:rPr>
          <w:sz w:val="22"/>
          <w:szCs w:val="22"/>
        </w:rPr>
      </w:pPr>
      <w:r w:rsidRPr="00EC64F8">
        <w:rPr>
          <w:b/>
          <w:sz w:val="22"/>
          <w:szCs w:val="22"/>
        </w:rPr>
        <w:t>7</w:t>
      </w:r>
      <w:r w:rsidR="00FD78FE" w:rsidRPr="00EC64F8">
        <w:rPr>
          <w:b/>
          <w:sz w:val="22"/>
          <w:szCs w:val="22"/>
        </w:rPr>
        <w:t xml:space="preserve">- </w:t>
      </w:r>
      <w:r w:rsidR="00FD78FE" w:rsidRPr="00EC64F8">
        <w:rPr>
          <w:sz w:val="22"/>
          <w:szCs w:val="22"/>
        </w:rPr>
        <w:t xml:space="preserve">Yabancı Dil Baraj Puanı </w:t>
      </w:r>
      <w:r w:rsidR="00E7547F" w:rsidRPr="00EC64F8">
        <w:rPr>
          <w:sz w:val="22"/>
          <w:szCs w:val="22"/>
        </w:rPr>
        <w:t xml:space="preserve">lisans öğrencileri için </w:t>
      </w:r>
      <w:r w:rsidR="00421BD0" w:rsidRPr="00EC64F8">
        <w:rPr>
          <w:sz w:val="22"/>
          <w:szCs w:val="22"/>
        </w:rPr>
        <w:t xml:space="preserve">en az </w:t>
      </w:r>
      <w:r w:rsidR="00FD78FE" w:rsidRPr="00EC64F8">
        <w:rPr>
          <w:sz w:val="22"/>
          <w:szCs w:val="22"/>
        </w:rPr>
        <w:t>60</w:t>
      </w:r>
      <w:r w:rsidR="00421BD0" w:rsidRPr="00EC64F8">
        <w:rPr>
          <w:sz w:val="22"/>
          <w:szCs w:val="22"/>
        </w:rPr>
        <w:t xml:space="preserve"> </w:t>
      </w:r>
      <w:r w:rsidR="00E7547F" w:rsidRPr="00EC64F8">
        <w:rPr>
          <w:sz w:val="22"/>
          <w:szCs w:val="22"/>
        </w:rPr>
        <w:t xml:space="preserve">yüksek lisans öğrencileri için 65 </w:t>
      </w:r>
      <w:r w:rsidR="00421BD0" w:rsidRPr="00EC64F8">
        <w:rPr>
          <w:sz w:val="22"/>
          <w:szCs w:val="22"/>
        </w:rPr>
        <w:t>olmalıdır.</w:t>
      </w:r>
      <w:r w:rsidR="00FD78FE" w:rsidRPr="00EC64F8">
        <w:rPr>
          <w:sz w:val="22"/>
          <w:szCs w:val="22"/>
        </w:rPr>
        <w:t xml:space="preserve"> </w:t>
      </w:r>
    </w:p>
    <w:p w:rsidR="00CF7D16" w:rsidRPr="00EC64F8" w:rsidRDefault="00CF7D16" w:rsidP="00801E83">
      <w:pPr>
        <w:pStyle w:val="Default"/>
        <w:jc w:val="both"/>
        <w:rPr>
          <w:sz w:val="22"/>
          <w:szCs w:val="22"/>
        </w:rPr>
      </w:pPr>
      <w:r w:rsidRPr="00EC64F8">
        <w:rPr>
          <w:b/>
          <w:sz w:val="22"/>
          <w:szCs w:val="22"/>
        </w:rPr>
        <w:t xml:space="preserve">8- </w:t>
      </w:r>
      <w:r w:rsidR="00AC474F" w:rsidRPr="00EC64F8">
        <w:rPr>
          <w:sz w:val="22"/>
          <w:szCs w:val="22"/>
        </w:rPr>
        <w:t>Erasmus+</w:t>
      </w:r>
      <w:r w:rsidR="00FB1C75" w:rsidRPr="00EC64F8">
        <w:rPr>
          <w:sz w:val="22"/>
          <w:szCs w:val="22"/>
        </w:rPr>
        <w:t xml:space="preserve"> </w:t>
      </w:r>
      <w:r w:rsidR="00AC474F" w:rsidRPr="00EC64F8">
        <w:rPr>
          <w:sz w:val="22"/>
          <w:szCs w:val="22"/>
        </w:rPr>
        <w:t xml:space="preserve">öğrenim hareketliliğinden birden </w:t>
      </w:r>
      <w:r w:rsidR="00FB1C75" w:rsidRPr="00EC64F8">
        <w:rPr>
          <w:sz w:val="22"/>
          <w:szCs w:val="22"/>
        </w:rPr>
        <w:t xml:space="preserve">fazla kez yararlanmak mümkündür. </w:t>
      </w:r>
      <w:r w:rsidR="00AC474F" w:rsidRPr="00EC64F8">
        <w:rPr>
          <w:sz w:val="22"/>
          <w:szCs w:val="22"/>
        </w:rPr>
        <w:t>Bir öğrencinin öğreniminin her seviyesinde (lisans,</w:t>
      </w:r>
      <w:r w:rsidR="00FB1C75" w:rsidRPr="00EC64F8">
        <w:rPr>
          <w:sz w:val="22"/>
          <w:szCs w:val="22"/>
        </w:rPr>
        <w:t xml:space="preserve"> </w:t>
      </w:r>
      <w:r w:rsidR="00AC474F" w:rsidRPr="00EC64F8">
        <w:rPr>
          <w:sz w:val="22"/>
          <w:szCs w:val="22"/>
        </w:rPr>
        <w:t>yüksek lisans, doktora) 12’şer aya kadar Erasmus+</w:t>
      </w:r>
      <w:r w:rsidR="00FB1C75" w:rsidRPr="00EC64F8">
        <w:rPr>
          <w:sz w:val="22"/>
          <w:szCs w:val="22"/>
        </w:rPr>
        <w:t xml:space="preserve"> </w:t>
      </w:r>
      <w:r w:rsidR="00AC474F" w:rsidRPr="00EC64F8">
        <w:rPr>
          <w:sz w:val="22"/>
          <w:szCs w:val="22"/>
        </w:rPr>
        <w:t>programından yararlanma hakkı vardır.</w:t>
      </w:r>
    </w:p>
    <w:p w:rsidR="00CF7D16" w:rsidRPr="00EC64F8" w:rsidRDefault="00CF7D16" w:rsidP="00801E83">
      <w:pPr>
        <w:pStyle w:val="Default"/>
        <w:jc w:val="both"/>
        <w:rPr>
          <w:sz w:val="22"/>
          <w:szCs w:val="22"/>
        </w:rPr>
      </w:pPr>
      <w:r w:rsidRPr="00EC64F8">
        <w:rPr>
          <w:b/>
          <w:sz w:val="22"/>
          <w:szCs w:val="22"/>
        </w:rPr>
        <w:t>9-</w:t>
      </w:r>
      <w:r w:rsidR="00AC474F" w:rsidRPr="00EC64F8">
        <w:rPr>
          <w:sz w:val="22"/>
          <w:szCs w:val="22"/>
        </w:rPr>
        <w:t xml:space="preserve">Bu 12 aylık süreye Erasmus staj hareketliliği </w:t>
      </w:r>
      <w:proofErr w:type="gramStart"/>
      <w:r w:rsidR="00AC474F" w:rsidRPr="00EC64F8">
        <w:rPr>
          <w:sz w:val="22"/>
          <w:szCs w:val="22"/>
        </w:rPr>
        <w:t>dahil</w:t>
      </w:r>
      <w:proofErr w:type="gramEnd"/>
      <w:r w:rsidR="00AC474F" w:rsidRPr="00EC64F8">
        <w:rPr>
          <w:sz w:val="22"/>
          <w:szCs w:val="22"/>
        </w:rPr>
        <w:t xml:space="preserve"> edilir; yani; öğrenci daha önce Erasmus </w:t>
      </w:r>
      <w:r w:rsidR="00FB1C75" w:rsidRPr="00EC64F8">
        <w:rPr>
          <w:sz w:val="22"/>
          <w:szCs w:val="22"/>
        </w:rPr>
        <w:t xml:space="preserve">staj programından yararlanmışsa </w:t>
      </w:r>
      <w:r w:rsidR="00AC474F" w:rsidRPr="00EC64F8">
        <w:rPr>
          <w:sz w:val="22"/>
          <w:szCs w:val="22"/>
        </w:rPr>
        <w:t>stajda geçirdiği süre 12 ayda</w:t>
      </w:r>
      <w:r w:rsidR="00FB1C75" w:rsidRPr="00EC64F8">
        <w:rPr>
          <w:sz w:val="22"/>
          <w:szCs w:val="22"/>
        </w:rPr>
        <w:t xml:space="preserve">n düşürülür. </w:t>
      </w:r>
      <w:r w:rsidR="00AC474F" w:rsidRPr="00EC64F8">
        <w:rPr>
          <w:sz w:val="22"/>
          <w:szCs w:val="22"/>
        </w:rPr>
        <w:t>İki faaliyetin toplam süresi 12 ayı geçemez.</w:t>
      </w:r>
    </w:p>
    <w:p w:rsidR="00166761" w:rsidRPr="00EC64F8" w:rsidRDefault="00166761" w:rsidP="00801E83">
      <w:pPr>
        <w:pStyle w:val="Default"/>
        <w:jc w:val="both"/>
        <w:rPr>
          <w:color w:val="323E4F" w:themeColor="text2" w:themeShade="BF"/>
          <w:sz w:val="36"/>
          <w:szCs w:val="36"/>
        </w:rPr>
      </w:pPr>
      <w:r w:rsidRPr="00EC64F8">
        <w:rPr>
          <w:b/>
          <w:color w:val="2E74B5" w:themeColor="accent1" w:themeShade="BF"/>
          <w:sz w:val="28"/>
          <w:szCs w:val="28"/>
          <w:u w:val="single"/>
        </w:rPr>
        <w:t>Seçim Ölçütleri</w:t>
      </w:r>
      <w:r w:rsidRPr="00EC64F8">
        <w:rPr>
          <w:color w:val="2E74B5" w:themeColor="accent1" w:themeShade="BF"/>
          <w:sz w:val="28"/>
          <w:szCs w:val="28"/>
        </w:rPr>
        <w:t xml:space="preserve"> </w:t>
      </w:r>
      <w:r w:rsidRPr="00EC64F8">
        <w:rPr>
          <w:color w:val="323E4F" w:themeColor="text2" w:themeShade="BF"/>
          <w:sz w:val="28"/>
          <w:szCs w:val="28"/>
        </w:rPr>
        <w:tab/>
      </w:r>
      <w:r w:rsidRPr="00EC64F8">
        <w:rPr>
          <w:color w:val="323E4F" w:themeColor="text2" w:themeShade="BF"/>
          <w:sz w:val="36"/>
          <w:szCs w:val="36"/>
        </w:rPr>
        <w:t xml:space="preserve">  :</w:t>
      </w:r>
    </w:p>
    <w:p w:rsidR="00504042" w:rsidRPr="00EC64F8" w:rsidRDefault="00504042" w:rsidP="00801E83">
      <w:pPr>
        <w:pStyle w:val="Default"/>
        <w:jc w:val="both"/>
        <w:rPr>
          <w:sz w:val="28"/>
          <w:szCs w:val="28"/>
        </w:rPr>
      </w:pPr>
    </w:p>
    <w:tbl>
      <w:tblPr>
        <w:tblStyle w:val="TabloKlavuzu"/>
        <w:tblW w:w="10575" w:type="dxa"/>
        <w:tblLook w:val="04A0" w:firstRow="1" w:lastRow="0" w:firstColumn="1" w:lastColumn="0" w:noHBand="0" w:noVBand="1"/>
      </w:tblPr>
      <w:tblGrid>
        <w:gridCol w:w="3579"/>
        <w:gridCol w:w="6996"/>
      </w:tblGrid>
      <w:tr w:rsidR="00747695" w:rsidRPr="00EC64F8" w:rsidTr="004F36E4">
        <w:trPr>
          <w:trHeight w:val="280"/>
        </w:trPr>
        <w:tc>
          <w:tcPr>
            <w:tcW w:w="3579" w:type="dxa"/>
          </w:tcPr>
          <w:p w:rsidR="00747695" w:rsidRPr="00EC64F8" w:rsidRDefault="00747695" w:rsidP="00801E83">
            <w:pPr>
              <w:pStyle w:val="Default"/>
              <w:jc w:val="both"/>
              <w:rPr>
                <w:b/>
                <w:sz w:val="28"/>
                <w:szCs w:val="28"/>
              </w:rPr>
            </w:pPr>
            <w:r w:rsidRPr="00EC64F8">
              <w:rPr>
                <w:b/>
              </w:rPr>
              <w:t>Ölçüt</w:t>
            </w:r>
          </w:p>
        </w:tc>
        <w:tc>
          <w:tcPr>
            <w:tcW w:w="6996" w:type="dxa"/>
          </w:tcPr>
          <w:p w:rsidR="00747695" w:rsidRPr="00EC64F8" w:rsidRDefault="00747695" w:rsidP="00801E83">
            <w:pPr>
              <w:pStyle w:val="Default"/>
              <w:jc w:val="both"/>
              <w:rPr>
                <w:b/>
                <w:sz w:val="28"/>
                <w:szCs w:val="28"/>
              </w:rPr>
            </w:pPr>
            <w:r w:rsidRPr="00EC64F8">
              <w:rPr>
                <w:b/>
              </w:rPr>
              <w:t>Ağırlıklı Puan</w:t>
            </w:r>
          </w:p>
        </w:tc>
      </w:tr>
      <w:tr w:rsidR="00747695" w:rsidRPr="00EC64F8" w:rsidTr="004F36E4">
        <w:trPr>
          <w:trHeight w:val="571"/>
        </w:trPr>
        <w:tc>
          <w:tcPr>
            <w:tcW w:w="3579" w:type="dxa"/>
          </w:tcPr>
          <w:p w:rsidR="00747695" w:rsidRPr="00EC64F8" w:rsidRDefault="00747695" w:rsidP="00801E83">
            <w:pPr>
              <w:pStyle w:val="Default"/>
              <w:jc w:val="both"/>
              <w:rPr>
                <w:i/>
                <w:sz w:val="22"/>
                <w:szCs w:val="22"/>
              </w:rPr>
            </w:pPr>
            <w:r w:rsidRPr="00EC64F8">
              <w:rPr>
                <w:i/>
                <w:sz w:val="22"/>
                <w:szCs w:val="22"/>
              </w:rPr>
              <w:t>Akademik başarı düzeyi</w:t>
            </w:r>
          </w:p>
        </w:tc>
        <w:tc>
          <w:tcPr>
            <w:tcW w:w="6996" w:type="dxa"/>
          </w:tcPr>
          <w:p w:rsidR="00747695" w:rsidRPr="00EC64F8" w:rsidRDefault="00747695" w:rsidP="00801E83">
            <w:pPr>
              <w:pStyle w:val="Default"/>
              <w:jc w:val="both"/>
              <w:rPr>
                <w:i/>
                <w:sz w:val="22"/>
                <w:szCs w:val="22"/>
              </w:rPr>
            </w:pPr>
            <w:r w:rsidRPr="00EC64F8">
              <w:rPr>
                <w:i/>
                <w:sz w:val="22"/>
                <w:szCs w:val="22"/>
              </w:rPr>
              <w:t>%50 (toplam 100 puan üzerinden)</w:t>
            </w:r>
          </w:p>
        </w:tc>
      </w:tr>
      <w:tr w:rsidR="00747695" w:rsidRPr="00EC64F8" w:rsidTr="004F36E4">
        <w:trPr>
          <w:trHeight w:val="476"/>
        </w:trPr>
        <w:tc>
          <w:tcPr>
            <w:tcW w:w="3579" w:type="dxa"/>
          </w:tcPr>
          <w:p w:rsidR="00747695" w:rsidRPr="00EC64F8" w:rsidRDefault="00747695" w:rsidP="00801E83">
            <w:pPr>
              <w:pStyle w:val="Default"/>
              <w:jc w:val="both"/>
              <w:rPr>
                <w:i/>
                <w:sz w:val="22"/>
                <w:szCs w:val="22"/>
              </w:rPr>
            </w:pPr>
            <w:r w:rsidRPr="00EC64F8">
              <w:rPr>
                <w:i/>
                <w:sz w:val="22"/>
                <w:szCs w:val="22"/>
              </w:rPr>
              <w:t>Dil seviyesi</w:t>
            </w:r>
          </w:p>
        </w:tc>
        <w:tc>
          <w:tcPr>
            <w:tcW w:w="6996" w:type="dxa"/>
          </w:tcPr>
          <w:p w:rsidR="00747695" w:rsidRPr="00EC64F8" w:rsidRDefault="00747695" w:rsidP="00801E83">
            <w:pPr>
              <w:pStyle w:val="Default"/>
              <w:jc w:val="both"/>
              <w:rPr>
                <w:i/>
                <w:sz w:val="22"/>
                <w:szCs w:val="22"/>
              </w:rPr>
            </w:pPr>
            <w:r w:rsidRPr="00EC64F8">
              <w:rPr>
                <w:i/>
                <w:sz w:val="22"/>
                <w:szCs w:val="22"/>
              </w:rPr>
              <w:t>%50 (toplam 100 puan üzerinden)</w:t>
            </w:r>
          </w:p>
        </w:tc>
      </w:tr>
      <w:tr w:rsidR="00747695" w:rsidRPr="00EC64F8" w:rsidTr="004F36E4">
        <w:trPr>
          <w:trHeight w:val="571"/>
        </w:trPr>
        <w:tc>
          <w:tcPr>
            <w:tcW w:w="3579" w:type="dxa"/>
          </w:tcPr>
          <w:p w:rsidR="00747695" w:rsidRPr="00EC64F8" w:rsidRDefault="00747695" w:rsidP="00801E83">
            <w:pPr>
              <w:pStyle w:val="Default"/>
              <w:jc w:val="both"/>
              <w:rPr>
                <w:i/>
                <w:sz w:val="22"/>
                <w:szCs w:val="22"/>
              </w:rPr>
            </w:pPr>
            <w:r w:rsidRPr="00EC64F8">
              <w:rPr>
                <w:i/>
                <w:sz w:val="22"/>
                <w:szCs w:val="22"/>
              </w:rPr>
              <w:t>Şehit ve gazi çocuklarına</w:t>
            </w:r>
            <w:r w:rsidR="00ED5346" w:rsidRPr="00EC64F8">
              <w:rPr>
                <w:i/>
                <w:sz w:val="22"/>
                <w:szCs w:val="22"/>
              </w:rPr>
              <w:t xml:space="preserve"> (durumun belgelenmesi kaydıyla)</w:t>
            </w:r>
          </w:p>
        </w:tc>
        <w:tc>
          <w:tcPr>
            <w:tcW w:w="6996" w:type="dxa"/>
          </w:tcPr>
          <w:p w:rsidR="00747695" w:rsidRPr="00EC64F8" w:rsidRDefault="00747695" w:rsidP="00801E83">
            <w:pPr>
              <w:pStyle w:val="Default"/>
              <w:jc w:val="both"/>
              <w:rPr>
                <w:i/>
                <w:sz w:val="22"/>
                <w:szCs w:val="22"/>
              </w:rPr>
            </w:pPr>
            <w:r w:rsidRPr="00EC64F8">
              <w:rPr>
                <w:i/>
                <w:sz w:val="22"/>
                <w:szCs w:val="22"/>
              </w:rPr>
              <w:t>+15 puan</w:t>
            </w:r>
          </w:p>
        </w:tc>
      </w:tr>
      <w:tr w:rsidR="00747695" w:rsidRPr="00EC64F8" w:rsidTr="004F36E4">
        <w:trPr>
          <w:trHeight w:val="514"/>
        </w:trPr>
        <w:tc>
          <w:tcPr>
            <w:tcW w:w="3579" w:type="dxa"/>
          </w:tcPr>
          <w:p w:rsidR="00747695" w:rsidRPr="00EC64F8" w:rsidRDefault="00747695" w:rsidP="00801E83">
            <w:pPr>
              <w:pStyle w:val="Default"/>
              <w:jc w:val="both"/>
              <w:rPr>
                <w:i/>
                <w:sz w:val="22"/>
                <w:szCs w:val="22"/>
              </w:rPr>
            </w:pPr>
            <w:r w:rsidRPr="00EC64F8">
              <w:rPr>
                <w:i/>
                <w:sz w:val="22"/>
                <w:szCs w:val="22"/>
              </w:rPr>
              <w:t>Engelli öğrencilere (engelliliğin belgelenmesi kaydıyla)</w:t>
            </w:r>
          </w:p>
        </w:tc>
        <w:tc>
          <w:tcPr>
            <w:tcW w:w="6996" w:type="dxa"/>
          </w:tcPr>
          <w:p w:rsidR="00747695" w:rsidRPr="00EC64F8" w:rsidRDefault="00747695" w:rsidP="00801E83">
            <w:pPr>
              <w:pStyle w:val="Default"/>
              <w:jc w:val="both"/>
              <w:rPr>
                <w:i/>
                <w:sz w:val="22"/>
                <w:szCs w:val="22"/>
              </w:rPr>
            </w:pPr>
            <w:r w:rsidRPr="00EC64F8">
              <w:rPr>
                <w:i/>
                <w:sz w:val="22"/>
                <w:szCs w:val="22"/>
              </w:rPr>
              <w:t>+10 puan</w:t>
            </w:r>
          </w:p>
        </w:tc>
      </w:tr>
      <w:tr w:rsidR="00747695" w:rsidRPr="00EC64F8" w:rsidTr="004F36E4">
        <w:trPr>
          <w:trHeight w:val="530"/>
        </w:trPr>
        <w:tc>
          <w:tcPr>
            <w:tcW w:w="3579" w:type="dxa"/>
          </w:tcPr>
          <w:p w:rsidR="00747695" w:rsidRPr="00EC64F8" w:rsidRDefault="00747695" w:rsidP="00801E83">
            <w:pPr>
              <w:pStyle w:val="Default"/>
              <w:jc w:val="both"/>
              <w:rPr>
                <w:i/>
                <w:sz w:val="22"/>
                <w:szCs w:val="22"/>
              </w:rPr>
            </w:pPr>
            <w:r w:rsidRPr="00EC64F8">
              <w:rPr>
                <w:i/>
                <w:sz w:val="22"/>
                <w:szCs w:val="22"/>
              </w:rPr>
              <w:t xml:space="preserve">Daha önce yararlanma (hibeli veya </w:t>
            </w:r>
            <w:proofErr w:type="spellStart"/>
            <w:r w:rsidRPr="00EC64F8">
              <w:rPr>
                <w:i/>
                <w:sz w:val="22"/>
                <w:szCs w:val="22"/>
              </w:rPr>
              <w:t>hibesiz</w:t>
            </w:r>
            <w:proofErr w:type="spellEnd"/>
            <w:r w:rsidRPr="00EC64F8">
              <w:rPr>
                <w:i/>
                <w:sz w:val="22"/>
                <w:szCs w:val="22"/>
              </w:rPr>
              <w:t>)</w:t>
            </w:r>
          </w:p>
        </w:tc>
        <w:tc>
          <w:tcPr>
            <w:tcW w:w="6996" w:type="dxa"/>
          </w:tcPr>
          <w:p w:rsidR="00747695" w:rsidRPr="00EC64F8" w:rsidRDefault="00747695" w:rsidP="00801E83">
            <w:pPr>
              <w:pStyle w:val="Default"/>
              <w:jc w:val="both"/>
              <w:rPr>
                <w:i/>
                <w:sz w:val="22"/>
                <w:szCs w:val="22"/>
              </w:rPr>
            </w:pPr>
            <w:r w:rsidRPr="00EC64F8">
              <w:rPr>
                <w:i/>
                <w:sz w:val="22"/>
                <w:szCs w:val="22"/>
              </w:rPr>
              <w:t>-10 puan</w:t>
            </w:r>
          </w:p>
        </w:tc>
      </w:tr>
      <w:tr w:rsidR="00747695" w:rsidRPr="00EC64F8" w:rsidTr="004F36E4">
        <w:trPr>
          <w:trHeight w:val="514"/>
        </w:trPr>
        <w:tc>
          <w:tcPr>
            <w:tcW w:w="3579" w:type="dxa"/>
          </w:tcPr>
          <w:p w:rsidR="00747695" w:rsidRPr="00EC64F8" w:rsidRDefault="004F36E4" w:rsidP="00801E83">
            <w:pPr>
              <w:pStyle w:val="Default"/>
              <w:jc w:val="both"/>
              <w:rPr>
                <w:i/>
                <w:sz w:val="22"/>
                <w:szCs w:val="22"/>
              </w:rPr>
            </w:pPr>
            <w:r w:rsidRPr="00EC64F8">
              <w:rPr>
                <w:i/>
                <w:sz w:val="22"/>
                <w:szCs w:val="22"/>
              </w:rPr>
              <w:t xml:space="preserve">2828 Sayılı Sosyal Hizmetler Kanunu Kapsamında haklarında koruma, </w:t>
            </w:r>
            <w:proofErr w:type="spellStart"/>
            <w:r w:rsidRPr="00EC64F8">
              <w:rPr>
                <w:i/>
                <w:sz w:val="22"/>
                <w:szCs w:val="22"/>
              </w:rPr>
              <w:t>bakımveya</w:t>
            </w:r>
            <w:proofErr w:type="spellEnd"/>
            <w:r w:rsidRPr="00EC64F8">
              <w:rPr>
                <w:i/>
                <w:sz w:val="22"/>
                <w:szCs w:val="22"/>
              </w:rPr>
              <w:t xml:space="preserve"> barınma kararı alınmış öğrencilere</w:t>
            </w:r>
          </w:p>
        </w:tc>
        <w:tc>
          <w:tcPr>
            <w:tcW w:w="6996" w:type="dxa"/>
          </w:tcPr>
          <w:p w:rsidR="00747695" w:rsidRPr="00EC64F8" w:rsidRDefault="004F36E4" w:rsidP="00801E83">
            <w:pPr>
              <w:pStyle w:val="Default"/>
              <w:jc w:val="both"/>
              <w:rPr>
                <w:i/>
                <w:sz w:val="22"/>
                <w:szCs w:val="22"/>
              </w:rPr>
            </w:pPr>
            <w:r w:rsidRPr="00EC64F8">
              <w:rPr>
                <w:i/>
                <w:sz w:val="22"/>
                <w:szCs w:val="22"/>
              </w:rPr>
              <w:t xml:space="preserve">+10 puan </w:t>
            </w:r>
          </w:p>
        </w:tc>
      </w:tr>
    </w:tbl>
    <w:tbl>
      <w:tblPr>
        <w:tblW w:w="10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gridCol w:w="7020"/>
      </w:tblGrid>
      <w:tr w:rsidR="004F36E4" w:rsidRPr="00EC64F8" w:rsidTr="004F36E4">
        <w:trPr>
          <w:trHeight w:val="390"/>
        </w:trPr>
        <w:tc>
          <w:tcPr>
            <w:tcW w:w="3495" w:type="dxa"/>
          </w:tcPr>
          <w:p w:rsidR="004F36E4" w:rsidRPr="00EC64F8" w:rsidRDefault="004F36E4" w:rsidP="00801E83">
            <w:pPr>
              <w:pStyle w:val="Default"/>
              <w:jc w:val="both"/>
              <w:rPr>
                <w:sz w:val="28"/>
                <w:szCs w:val="28"/>
              </w:rPr>
            </w:pPr>
          </w:p>
          <w:p w:rsidR="004F36E4" w:rsidRPr="00EC64F8" w:rsidRDefault="004F36E4" w:rsidP="00801E83">
            <w:pPr>
              <w:pStyle w:val="Default"/>
              <w:jc w:val="both"/>
              <w:rPr>
                <w:i/>
                <w:sz w:val="22"/>
                <w:szCs w:val="22"/>
              </w:rPr>
            </w:pPr>
            <w:r w:rsidRPr="00EC64F8">
              <w:rPr>
                <w:i/>
                <w:sz w:val="22"/>
                <w:szCs w:val="22"/>
              </w:rPr>
              <w:t xml:space="preserve">Vatandaşı olunan ülkede hareketliliğe katılma </w:t>
            </w:r>
          </w:p>
        </w:tc>
        <w:tc>
          <w:tcPr>
            <w:tcW w:w="7020" w:type="dxa"/>
          </w:tcPr>
          <w:p w:rsidR="004F36E4" w:rsidRPr="00EC64F8" w:rsidRDefault="004F36E4" w:rsidP="00AC7B5E">
            <w:pPr>
              <w:pStyle w:val="Default"/>
              <w:jc w:val="both"/>
              <w:rPr>
                <w:i/>
                <w:sz w:val="22"/>
                <w:szCs w:val="22"/>
              </w:rPr>
            </w:pPr>
            <w:r w:rsidRPr="00EC64F8">
              <w:rPr>
                <w:sz w:val="28"/>
                <w:szCs w:val="28"/>
              </w:rPr>
              <w:t xml:space="preserve"> </w:t>
            </w:r>
            <w:r w:rsidRPr="00EC64F8">
              <w:rPr>
                <w:i/>
                <w:sz w:val="22"/>
                <w:szCs w:val="22"/>
              </w:rPr>
              <w:t>-10 puan</w:t>
            </w:r>
          </w:p>
        </w:tc>
      </w:tr>
      <w:tr w:rsidR="004F36E4" w:rsidRPr="00EC64F8" w:rsidTr="004F36E4">
        <w:trPr>
          <w:trHeight w:val="285"/>
        </w:trPr>
        <w:tc>
          <w:tcPr>
            <w:tcW w:w="3495" w:type="dxa"/>
          </w:tcPr>
          <w:p w:rsidR="004F36E4" w:rsidRPr="00EC64F8" w:rsidRDefault="004F36E4" w:rsidP="00801E83">
            <w:pPr>
              <w:pStyle w:val="Default"/>
              <w:jc w:val="both"/>
              <w:rPr>
                <w:i/>
                <w:sz w:val="22"/>
                <w:szCs w:val="22"/>
              </w:rPr>
            </w:pPr>
            <w:r w:rsidRPr="00EC64F8">
              <w:rPr>
                <w:i/>
                <w:sz w:val="22"/>
                <w:szCs w:val="22"/>
              </w:rPr>
              <w:t xml:space="preserve">Hareketliliğe seçilen öğrenciler için: Yükseköğretim kurumu tarafından hareketlilikle ilgili olarak düzenlenen toplantılara /eğitimlere mazeretsiz katılmama ( öğrencinin </w:t>
            </w:r>
            <w:proofErr w:type="spellStart"/>
            <w:r w:rsidRPr="00EC64F8">
              <w:rPr>
                <w:i/>
                <w:sz w:val="22"/>
                <w:szCs w:val="22"/>
              </w:rPr>
              <w:lastRenderedPageBreak/>
              <w:t>Erasmus’a</w:t>
            </w:r>
            <w:proofErr w:type="spellEnd"/>
            <w:r w:rsidRPr="00EC64F8">
              <w:rPr>
                <w:i/>
                <w:sz w:val="22"/>
                <w:szCs w:val="22"/>
              </w:rPr>
              <w:t xml:space="preserve"> tekrar başvurması halinde uygulanır )</w:t>
            </w:r>
          </w:p>
          <w:p w:rsidR="004F36E4" w:rsidRPr="00EC64F8" w:rsidRDefault="004F36E4" w:rsidP="00801E83">
            <w:pPr>
              <w:pStyle w:val="Default"/>
              <w:jc w:val="both"/>
              <w:rPr>
                <w:sz w:val="28"/>
                <w:szCs w:val="28"/>
              </w:rPr>
            </w:pPr>
          </w:p>
        </w:tc>
        <w:tc>
          <w:tcPr>
            <w:tcW w:w="7020" w:type="dxa"/>
          </w:tcPr>
          <w:p w:rsidR="004F36E4" w:rsidRPr="00EC64F8" w:rsidRDefault="004F36E4" w:rsidP="00AC7B5E">
            <w:pPr>
              <w:pStyle w:val="Default"/>
              <w:jc w:val="both"/>
              <w:rPr>
                <w:sz w:val="28"/>
                <w:szCs w:val="28"/>
              </w:rPr>
            </w:pPr>
            <w:r w:rsidRPr="00EC64F8">
              <w:rPr>
                <w:sz w:val="28"/>
                <w:szCs w:val="28"/>
              </w:rPr>
              <w:lastRenderedPageBreak/>
              <w:t xml:space="preserve"> </w:t>
            </w:r>
            <w:r w:rsidRPr="00EC64F8">
              <w:rPr>
                <w:i/>
                <w:sz w:val="22"/>
                <w:szCs w:val="22"/>
              </w:rPr>
              <w:t>-</w:t>
            </w:r>
            <w:r w:rsidR="008B0FD8" w:rsidRPr="00EC64F8">
              <w:rPr>
                <w:i/>
                <w:sz w:val="22"/>
                <w:szCs w:val="22"/>
              </w:rPr>
              <w:t>5</w:t>
            </w:r>
            <w:r w:rsidRPr="00EC64F8">
              <w:rPr>
                <w:i/>
                <w:sz w:val="22"/>
                <w:szCs w:val="22"/>
              </w:rPr>
              <w:t xml:space="preserve"> puan </w:t>
            </w:r>
            <w:r w:rsidRPr="00EC64F8">
              <w:rPr>
                <w:sz w:val="28"/>
                <w:szCs w:val="28"/>
              </w:rPr>
              <w:t xml:space="preserve">                                                                                       </w:t>
            </w:r>
          </w:p>
        </w:tc>
      </w:tr>
      <w:tr w:rsidR="004F36E4" w:rsidRPr="00EC64F8" w:rsidTr="004F36E4">
        <w:trPr>
          <w:trHeight w:val="155"/>
        </w:trPr>
        <w:tc>
          <w:tcPr>
            <w:tcW w:w="3495" w:type="dxa"/>
          </w:tcPr>
          <w:p w:rsidR="004F36E4" w:rsidRPr="00EC64F8" w:rsidRDefault="008B0FD8" w:rsidP="00801E83">
            <w:pPr>
              <w:pStyle w:val="Default"/>
              <w:jc w:val="both"/>
              <w:rPr>
                <w:i/>
                <w:sz w:val="22"/>
                <w:szCs w:val="22"/>
              </w:rPr>
            </w:pPr>
            <w:proofErr w:type="gramStart"/>
            <w:r w:rsidRPr="00EC64F8">
              <w:rPr>
                <w:i/>
                <w:sz w:val="22"/>
                <w:szCs w:val="22"/>
              </w:rPr>
              <w:lastRenderedPageBreak/>
              <w:t>iki</w:t>
            </w:r>
            <w:proofErr w:type="gramEnd"/>
            <w:r w:rsidRPr="00EC64F8">
              <w:rPr>
                <w:i/>
                <w:sz w:val="22"/>
                <w:szCs w:val="22"/>
              </w:rPr>
              <w:t xml:space="preserve"> Hareketlilik türüne birden aynı anda başvurma (öğrencinin tercih ettiği hareketlilik türüne azaltma uygulanır)</w:t>
            </w:r>
          </w:p>
        </w:tc>
        <w:tc>
          <w:tcPr>
            <w:tcW w:w="7020" w:type="dxa"/>
          </w:tcPr>
          <w:p w:rsidR="004F36E4" w:rsidRPr="00EC64F8" w:rsidRDefault="008B0FD8" w:rsidP="00801E83">
            <w:pPr>
              <w:pStyle w:val="Default"/>
              <w:jc w:val="both"/>
              <w:rPr>
                <w:i/>
                <w:sz w:val="22"/>
                <w:szCs w:val="22"/>
              </w:rPr>
            </w:pPr>
            <w:r w:rsidRPr="00EC64F8">
              <w:rPr>
                <w:sz w:val="28"/>
                <w:szCs w:val="28"/>
              </w:rPr>
              <w:t xml:space="preserve"> </w:t>
            </w:r>
            <w:r w:rsidRPr="00EC64F8">
              <w:rPr>
                <w:i/>
                <w:sz w:val="22"/>
                <w:szCs w:val="22"/>
              </w:rPr>
              <w:t xml:space="preserve">-10 puan </w:t>
            </w:r>
          </w:p>
        </w:tc>
      </w:tr>
      <w:tr w:rsidR="004F36E4" w:rsidRPr="00EC64F8" w:rsidTr="003E4A88">
        <w:trPr>
          <w:trHeight w:val="70"/>
        </w:trPr>
        <w:tc>
          <w:tcPr>
            <w:tcW w:w="3495" w:type="dxa"/>
          </w:tcPr>
          <w:p w:rsidR="004F36E4" w:rsidRPr="00EC64F8" w:rsidRDefault="008B0FD8" w:rsidP="00801E83">
            <w:pPr>
              <w:pStyle w:val="Default"/>
              <w:jc w:val="both"/>
              <w:rPr>
                <w:i/>
                <w:sz w:val="22"/>
                <w:szCs w:val="22"/>
              </w:rPr>
            </w:pPr>
            <w:r w:rsidRPr="00EC64F8">
              <w:rPr>
                <w:i/>
                <w:sz w:val="22"/>
                <w:szCs w:val="22"/>
              </w:rPr>
              <w:t xml:space="preserve">Dil sınavına gireceğini beyan mazeretsiz girmeme (öğrencinin </w:t>
            </w:r>
            <w:proofErr w:type="spellStart"/>
            <w:r w:rsidRPr="00EC64F8">
              <w:rPr>
                <w:i/>
                <w:sz w:val="22"/>
                <w:szCs w:val="22"/>
              </w:rPr>
              <w:t>Erasmus’a</w:t>
            </w:r>
            <w:proofErr w:type="spellEnd"/>
            <w:r w:rsidRPr="00EC64F8">
              <w:rPr>
                <w:i/>
                <w:sz w:val="22"/>
                <w:szCs w:val="22"/>
              </w:rPr>
              <w:t xml:space="preserve"> tekrar başvurması halinde uygulanır)</w:t>
            </w:r>
          </w:p>
        </w:tc>
        <w:tc>
          <w:tcPr>
            <w:tcW w:w="7020" w:type="dxa"/>
          </w:tcPr>
          <w:p w:rsidR="004F36E4" w:rsidRPr="00EC64F8" w:rsidRDefault="008B0FD8" w:rsidP="00801E83">
            <w:pPr>
              <w:pStyle w:val="Default"/>
              <w:jc w:val="both"/>
              <w:rPr>
                <w:i/>
                <w:sz w:val="22"/>
                <w:szCs w:val="22"/>
              </w:rPr>
            </w:pPr>
            <w:r w:rsidRPr="00EC64F8">
              <w:rPr>
                <w:sz w:val="28"/>
                <w:szCs w:val="28"/>
              </w:rPr>
              <w:t xml:space="preserve"> </w:t>
            </w:r>
            <w:r w:rsidRPr="00EC64F8">
              <w:rPr>
                <w:i/>
                <w:sz w:val="22"/>
                <w:szCs w:val="22"/>
              </w:rPr>
              <w:t>-5 puan</w:t>
            </w:r>
          </w:p>
        </w:tc>
      </w:tr>
      <w:tr w:rsidR="009F18CB" w:rsidRPr="00EC64F8" w:rsidTr="009F18CB">
        <w:trPr>
          <w:trHeight w:val="963"/>
        </w:trPr>
        <w:tc>
          <w:tcPr>
            <w:tcW w:w="3495" w:type="dxa"/>
          </w:tcPr>
          <w:p w:rsidR="009F18CB" w:rsidRPr="00EC64F8" w:rsidRDefault="009F18CB" w:rsidP="00801E83">
            <w:pPr>
              <w:pStyle w:val="Default"/>
              <w:jc w:val="both"/>
              <w:rPr>
                <w:i/>
                <w:sz w:val="22"/>
                <w:szCs w:val="22"/>
              </w:rPr>
            </w:pPr>
            <w:r w:rsidRPr="00EC64F8">
              <w:rPr>
                <w:i/>
                <w:sz w:val="22"/>
                <w:szCs w:val="22"/>
              </w:rPr>
              <w:t>Hareketliliğe seçildiği halde süresinde feragat bildirimi bulunmaksızın hareketliliğe katılmama</w:t>
            </w:r>
          </w:p>
        </w:tc>
        <w:tc>
          <w:tcPr>
            <w:tcW w:w="7020" w:type="dxa"/>
          </w:tcPr>
          <w:p w:rsidR="009F18CB" w:rsidRPr="00EC64F8" w:rsidRDefault="009F18CB" w:rsidP="00AC7B5E">
            <w:pPr>
              <w:pStyle w:val="Default"/>
              <w:rPr>
                <w:i/>
                <w:sz w:val="22"/>
                <w:szCs w:val="22"/>
              </w:rPr>
            </w:pPr>
            <w:r w:rsidRPr="00EC64F8">
              <w:rPr>
                <w:i/>
                <w:sz w:val="22"/>
                <w:szCs w:val="22"/>
              </w:rPr>
              <w:t>-10 puan</w:t>
            </w:r>
          </w:p>
        </w:tc>
      </w:tr>
    </w:tbl>
    <w:p w:rsidR="004F36E4" w:rsidRPr="00EC64F8" w:rsidRDefault="00806C85" w:rsidP="00801E83">
      <w:pPr>
        <w:pStyle w:val="Default"/>
        <w:jc w:val="both"/>
        <w:rPr>
          <w:sz w:val="22"/>
          <w:szCs w:val="22"/>
        </w:rPr>
      </w:pPr>
      <w:r w:rsidRPr="00EC64F8">
        <w:rPr>
          <w:sz w:val="28"/>
          <w:szCs w:val="28"/>
        </w:rPr>
        <w:t>*</w:t>
      </w:r>
      <w:r w:rsidRPr="00EC64F8">
        <w:rPr>
          <w:sz w:val="22"/>
          <w:szCs w:val="22"/>
        </w:rPr>
        <w:t xml:space="preserve">Türkiye Cumhuriyetinde </w:t>
      </w:r>
      <w:r w:rsidR="00BC56E1" w:rsidRPr="00EC64F8">
        <w:rPr>
          <w:sz w:val="22"/>
          <w:szCs w:val="22"/>
        </w:rPr>
        <w:t xml:space="preserve">öğrenim gören yabancı uyruklu öğrenci olup; kendi ülkesinde öğrenim görmek </w:t>
      </w:r>
    </w:p>
    <w:p w:rsidR="00166761" w:rsidRPr="00EC64F8" w:rsidRDefault="00BC56E1" w:rsidP="00801E83">
      <w:pPr>
        <w:pStyle w:val="Default"/>
        <w:jc w:val="both"/>
        <w:rPr>
          <w:sz w:val="22"/>
          <w:szCs w:val="22"/>
        </w:rPr>
      </w:pPr>
      <w:proofErr w:type="gramStart"/>
      <w:r w:rsidRPr="00EC64F8">
        <w:rPr>
          <w:sz w:val="22"/>
          <w:szCs w:val="22"/>
        </w:rPr>
        <w:t>isteyen</w:t>
      </w:r>
      <w:proofErr w:type="gramEnd"/>
      <w:r w:rsidRPr="00EC64F8">
        <w:rPr>
          <w:sz w:val="22"/>
          <w:szCs w:val="22"/>
        </w:rPr>
        <w:t xml:space="preserve"> öğrencileri kapsamaktadır.</w:t>
      </w:r>
    </w:p>
    <w:p w:rsidR="00747695" w:rsidRPr="00EC64F8" w:rsidRDefault="00CF7D16" w:rsidP="00801E83">
      <w:pPr>
        <w:pStyle w:val="Default"/>
        <w:jc w:val="both"/>
        <w:rPr>
          <w:sz w:val="22"/>
          <w:szCs w:val="22"/>
        </w:rPr>
      </w:pPr>
      <w:r w:rsidRPr="00EC64F8">
        <w:rPr>
          <w:sz w:val="22"/>
          <w:szCs w:val="22"/>
        </w:rPr>
        <w:t>-</w:t>
      </w:r>
      <w:r w:rsidRPr="00EC64F8">
        <w:rPr>
          <w:sz w:val="22"/>
          <w:szCs w:val="22"/>
          <w:u w:val="single"/>
        </w:rPr>
        <w:t>Aynı öğrenim seviyesinde</w:t>
      </w:r>
      <w:r w:rsidRPr="00EC64F8">
        <w:rPr>
          <w:sz w:val="22"/>
          <w:szCs w:val="22"/>
        </w:rPr>
        <w:t xml:space="preserve"> daha önce Erasmus+ programından yararlanmış olan öğrencilerin yerleştirme puanlarında daha önce yararlanılan her bir faaliyet için (öğrenim –staj ayrımı yapılmaksızın) 10’ar pua</w:t>
      </w:r>
      <w:r w:rsidR="003C1A31" w:rsidRPr="00EC64F8">
        <w:rPr>
          <w:sz w:val="22"/>
          <w:szCs w:val="22"/>
        </w:rPr>
        <w:t>n kesinti yapılır.</w:t>
      </w:r>
    </w:p>
    <w:p w:rsidR="003C1A31" w:rsidRPr="00EC64F8" w:rsidRDefault="003C1A31" w:rsidP="00801E83">
      <w:pPr>
        <w:pStyle w:val="Default"/>
        <w:jc w:val="both"/>
        <w:rPr>
          <w:sz w:val="22"/>
          <w:szCs w:val="22"/>
        </w:rPr>
      </w:pPr>
    </w:p>
    <w:p w:rsidR="00EC2E0C" w:rsidRPr="00EC64F8" w:rsidRDefault="00EC2E0C" w:rsidP="00801E83">
      <w:pPr>
        <w:jc w:val="both"/>
        <w:rPr>
          <w:rFonts w:ascii="Arial" w:hAnsi="Arial" w:cs="Arial"/>
          <w:b/>
          <w:color w:val="1F4E79" w:themeColor="accent1" w:themeShade="80"/>
          <w:u w:val="single"/>
        </w:rPr>
      </w:pPr>
      <w:r w:rsidRPr="00EC64F8">
        <w:rPr>
          <w:rFonts w:ascii="Arial" w:hAnsi="Arial" w:cs="Arial"/>
          <w:b/>
          <w:color w:val="1F4E79" w:themeColor="accent1" w:themeShade="80"/>
          <w:sz w:val="36"/>
          <w:szCs w:val="36"/>
          <w:u w:val="single"/>
        </w:rPr>
        <w:t xml:space="preserve">Süreç </w:t>
      </w:r>
      <w:proofErr w:type="gramStart"/>
      <w:r w:rsidRPr="00EC64F8">
        <w:rPr>
          <w:rFonts w:ascii="Arial" w:hAnsi="Arial" w:cs="Arial"/>
          <w:b/>
          <w:color w:val="1F4E79" w:themeColor="accent1" w:themeShade="80"/>
          <w:sz w:val="36"/>
          <w:szCs w:val="36"/>
          <w:u w:val="single"/>
        </w:rPr>
        <w:t>Takvimi :</w:t>
      </w:r>
      <w:proofErr w:type="gramEnd"/>
      <w:r w:rsidRPr="00EC64F8">
        <w:rPr>
          <w:rFonts w:ascii="Arial" w:hAnsi="Arial" w:cs="Arial"/>
          <w:b/>
          <w:color w:val="1F4E79" w:themeColor="accent1" w:themeShade="80"/>
          <w:sz w:val="36"/>
          <w:szCs w:val="36"/>
          <w:u w:val="single"/>
        </w:rPr>
        <w:t xml:space="preserve"> </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05/01/2022</w:t>
      </w:r>
      <w:r w:rsidR="00EC2E0C" w:rsidRPr="00EC64F8">
        <w:rPr>
          <w:rFonts w:ascii="Arial" w:hAnsi="Arial" w:cs="Arial"/>
          <w:color w:val="333333"/>
          <w:sz w:val="22"/>
          <w:szCs w:val="22"/>
        </w:rPr>
        <w:t>-</w:t>
      </w:r>
      <w:r w:rsidRPr="00EC64F8">
        <w:rPr>
          <w:rFonts w:ascii="Arial" w:hAnsi="Arial" w:cs="Arial"/>
          <w:color w:val="333333"/>
          <w:sz w:val="22"/>
          <w:szCs w:val="22"/>
        </w:rPr>
        <w:t>25/01/2022</w:t>
      </w:r>
      <w:r w:rsidR="00EC2E0C" w:rsidRPr="00EC64F8">
        <w:rPr>
          <w:rFonts w:ascii="Arial" w:hAnsi="Arial" w:cs="Arial"/>
          <w:color w:val="333333"/>
          <w:sz w:val="22"/>
          <w:szCs w:val="22"/>
        </w:rPr>
        <w:t>           </w:t>
      </w:r>
      <w:r w:rsidR="00EC2E0C" w:rsidRPr="00EC64F8">
        <w:rPr>
          <w:rFonts w:ascii="Arial" w:hAnsi="Arial" w:cs="Arial"/>
          <w:color w:val="333333"/>
          <w:sz w:val="22"/>
          <w:szCs w:val="22"/>
        </w:rPr>
        <w:tab/>
      </w:r>
      <w:proofErr w:type="spellStart"/>
      <w:r w:rsidR="00EC2E0C" w:rsidRPr="00EC64F8">
        <w:rPr>
          <w:rFonts w:ascii="Arial" w:hAnsi="Arial" w:cs="Arial"/>
          <w:color w:val="333333"/>
          <w:sz w:val="22"/>
          <w:szCs w:val="22"/>
        </w:rPr>
        <w:t>Erasmus</w:t>
      </w:r>
      <w:proofErr w:type="spellEnd"/>
      <w:r w:rsidR="00801E83" w:rsidRPr="00EC64F8">
        <w:rPr>
          <w:rFonts w:ascii="Arial" w:hAnsi="Arial" w:cs="Arial"/>
          <w:color w:val="333333"/>
          <w:sz w:val="22"/>
          <w:szCs w:val="22"/>
        </w:rPr>
        <w:t>+</w:t>
      </w:r>
      <w:r w:rsidR="00EC2E0C" w:rsidRPr="00EC64F8">
        <w:rPr>
          <w:rFonts w:ascii="Arial" w:hAnsi="Arial" w:cs="Arial"/>
          <w:color w:val="333333"/>
          <w:sz w:val="22"/>
          <w:szCs w:val="22"/>
        </w:rPr>
        <w:t xml:space="preserve"> Dil Sınavı Başvuru Sisteminin Açılması </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11/02/2022</w:t>
      </w:r>
      <w:r w:rsidR="00EC2E0C" w:rsidRPr="00EC64F8">
        <w:rPr>
          <w:rFonts w:ascii="Arial" w:hAnsi="Arial" w:cs="Arial"/>
          <w:color w:val="333333"/>
          <w:sz w:val="22"/>
          <w:szCs w:val="22"/>
        </w:rPr>
        <w:t>                </w:t>
      </w:r>
      <w:r w:rsidR="00801E83" w:rsidRPr="00EC64F8">
        <w:rPr>
          <w:rFonts w:ascii="Arial" w:hAnsi="Arial" w:cs="Arial"/>
          <w:color w:val="333333"/>
          <w:sz w:val="22"/>
          <w:szCs w:val="22"/>
        </w:rPr>
        <w:t xml:space="preserve">                        </w:t>
      </w:r>
      <w:proofErr w:type="spellStart"/>
      <w:r w:rsidR="00801E83" w:rsidRPr="00EC64F8">
        <w:rPr>
          <w:rFonts w:ascii="Arial" w:hAnsi="Arial" w:cs="Arial"/>
          <w:color w:val="333333"/>
          <w:sz w:val="22"/>
          <w:szCs w:val="22"/>
        </w:rPr>
        <w:t>Erasmus</w:t>
      </w:r>
      <w:proofErr w:type="spellEnd"/>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Dil Sınavı </w:t>
      </w:r>
      <w:r w:rsidR="00E7547F" w:rsidRPr="00EC64F8">
        <w:rPr>
          <w:rFonts w:ascii="Arial" w:hAnsi="Arial" w:cs="Arial"/>
          <w:color w:val="333333"/>
          <w:sz w:val="22"/>
          <w:szCs w:val="22"/>
        </w:rPr>
        <w:t>(Online)</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23/02/2022</w:t>
      </w:r>
      <w:r w:rsidR="00EC2E0C" w:rsidRPr="00EC64F8">
        <w:rPr>
          <w:rFonts w:ascii="Arial" w:hAnsi="Arial" w:cs="Arial"/>
          <w:color w:val="333333"/>
          <w:sz w:val="22"/>
          <w:szCs w:val="22"/>
        </w:rPr>
        <w:t>                                        Diğer Eşdeğer Dil Sınav Sonuçlarının Ofise Teslim Edilmesi Son Tarih</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25</w:t>
      </w:r>
      <w:r w:rsidR="00E7547F" w:rsidRPr="00EC64F8">
        <w:rPr>
          <w:rFonts w:ascii="Arial" w:hAnsi="Arial" w:cs="Arial"/>
          <w:color w:val="333333"/>
          <w:sz w:val="22"/>
          <w:szCs w:val="22"/>
        </w:rPr>
        <w:t>/02</w:t>
      </w:r>
      <w:r w:rsidR="00D03180" w:rsidRPr="00EC64F8">
        <w:rPr>
          <w:rFonts w:ascii="Arial" w:hAnsi="Arial" w:cs="Arial"/>
          <w:color w:val="333333"/>
          <w:sz w:val="22"/>
          <w:szCs w:val="22"/>
        </w:rPr>
        <w:t>/20</w:t>
      </w:r>
      <w:r w:rsidR="00E7547F" w:rsidRPr="00EC64F8">
        <w:rPr>
          <w:rFonts w:ascii="Arial" w:hAnsi="Arial" w:cs="Arial"/>
          <w:color w:val="333333"/>
          <w:sz w:val="22"/>
          <w:szCs w:val="22"/>
        </w:rPr>
        <w:t>21</w:t>
      </w:r>
      <w:r w:rsidR="00EC2E0C" w:rsidRPr="00EC64F8">
        <w:rPr>
          <w:rFonts w:ascii="Arial" w:hAnsi="Arial" w:cs="Arial"/>
          <w:color w:val="333333"/>
          <w:sz w:val="22"/>
          <w:szCs w:val="22"/>
        </w:rPr>
        <w:t>                </w:t>
      </w:r>
      <w:r w:rsidR="009672CD" w:rsidRPr="00EC64F8">
        <w:rPr>
          <w:rFonts w:ascii="Arial" w:hAnsi="Arial" w:cs="Arial"/>
          <w:color w:val="333333"/>
          <w:sz w:val="22"/>
          <w:szCs w:val="22"/>
        </w:rPr>
        <w:t xml:space="preserve"> </w:t>
      </w:r>
      <w:r w:rsidR="00EC2E0C" w:rsidRPr="00EC64F8">
        <w:rPr>
          <w:rFonts w:ascii="Arial" w:hAnsi="Arial" w:cs="Arial"/>
          <w:color w:val="333333"/>
          <w:sz w:val="22"/>
          <w:szCs w:val="22"/>
        </w:rPr>
        <w:t>                   </w:t>
      </w:r>
      <w:r w:rsidR="009672CD" w:rsidRPr="00EC64F8">
        <w:rPr>
          <w:rFonts w:ascii="Arial" w:hAnsi="Arial" w:cs="Arial"/>
          <w:color w:val="333333"/>
          <w:sz w:val="22"/>
          <w:szCs w:val="22"/>
        </w:rPr>
        <w:t>    Dil Sınav Sonuçlarının İlan</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28</w:t>
      </w:r>
      <w:r w:rsidR="00E7547F" w:rsidRPr="00EC64F8">
        <w:rPr>
          <w:rFonts w:ascii="Arial" w:hAnsi="Arial" w:cs="Arial"/>
          <w:color w:val="333333"/>
          <w:sz w:val="22"/>
          <w:szCs w:val="22"/>
        </w:rPr>
        <w:t>/0</w:t>
      </w:r>
      <w:r w:rsidRPr="00EC64F8">
        <w:rPr>
          <w:rFonts w:ascii="Arial" w:hAnsi="Arial" w:cs="Arial"/>
          <w:color w:val="333333"/>
          <w:sz w:val="22"/>
          <w:szCs w:val="22"/>
        </w:rPr>
        <w:t>2/2022</w:t>
      </w:r>
      <w:r w:rsidR="00EC2E0C" w:rsidRPr="00EC64F8">
        <w:rPr>
          <w:rFonts w:ascii="Arial" w:hAnsi="Arial" w:cs="Arial"/>
          <w:color w:val="333333"/>
          <w:sz w:val="22"/>
          <w:szCs w:val="22"/>
        </w:rPr>
        <w:t>-</w:t>
      </w:r>
      <w:r w:rsidRPr="00EC64F8">
        <w:rPr>
          <w:rFonts w:ascii="Arial" w:hAnsi="Arial" w:cs="Arial"/>
          <w:color w:val="333333"/>
          <w:sz w:val="22"/>
          <w:szCs w:val="22"/>
        </w:rPr>
        <w:t>11/03/2022</w:t>
      </w:r>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              </w:t>
      </w:r>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     Üniversite Tercih Sisteminin Açılması</w:t>
      </w:r>
    </w:p>
    <w:p w:rsidR="00EC2E0C"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25/03</w:t>
      </w:r>
      <w:r w:rsidR="00EC2E0C" w:rsidRPr="00EC64F8">
        <w:rPr>
          <w:rFonts w:ascii="Arial" w:hAnsi="Arial" w:cs="Arial"/>
          <w:color w:val="333333"/>
          <w:sz w:val="22"/>
          <w:szCs w:val="22"/>
        </w:rPr>
        <w:t>/20</w:t>
      </w:r>
      <w:r w:rsidRPr="00EC64F8">
        <w:rPr>
          <w:rFonts w:ascii="Arial" w:hAnsi="Arial" w:cs="Arial"/>
          <w:color w:val="333333"/>
          <w:sz w:val="22"/>
          <w:szCs w:val="22"/>
        </w:rPr>
        <w:t>22</w:t>
      </w:r>
      <w:r w:rsidR="00EC2E0C" w:rsidRPr="00EC64F8">
        <w:rPr>
          <w:rFonts w:ascii="Arial" w:hAnsi="Arial" w:cs="Arial"/>
          <w:color w:val="333333"/>
          <w:sz w:val="22"/>
          <w:szCs w:val="22"/>
        </w:rPr>
        <w:t>                       </w:t>
      </w:r>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       </w:t>
      </w:r>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 xml:space="preserve">   </w:t>
      </w:r>
      <w:r w:rsidR="00801E83" w:rsidRPr="00EC64F8">
        <w:rPr>
          <w:rFonts w:ascii="Arial" w:hAnsi="Arial" w:cs="Arial"/>
          <w:color w:val="333333"/>
          <w:sz w:val="22"/>
          <w:szCs w:val="22"/>
        </w:rPr>
        <w:t xml:space="preserve"> </w:t>
      </w:r>
      <w:r w:rsidR="00EC2E0C" w:rsidRPr="00EC64F8">
        <w:rPr>
          <w:rFonts w:ascii="Arial" w:hAnsi="Arial" w:cs="Arial"/>
          <w:color w:val="333333"/>
          <w:sz w:val="22"/>
          <w:szCs w:val="22"/>
        </w:rPr>
        <w:t xml:space="preserve"> </w:t>
      </w:r>
      <w:r w:rsidRPr="00EC64F8">
        <w:rPr>
          <w:rFonts w:ascii="Arial" w:hAnsi="Arial" w:cs="Arial"/>
          <w:color w:val="333333"/>
          <w:sz w:val="22"/>
          <w:szCs w:val="22"/>
        </w:rPr>
        <w:t xml:space="preserve">Aday </w:t>
      </w:r>
      <w:r w:rsidR="00EC2E0C" w:rsidRPr="00EC64F8">
        <w:rPr>
          <w:rFonts w:ascii="Arial" w:hAnsi="Arial" w:cs="Arial"/>
          <w:color w:val="333333"/>
          <w:sz w:val="22"/>
          <w:szCs w:val="22"/>
        </w:rPr>
        <w:t xml:space="preserve">Yerleştirme </w:t>
      </w:r>
      <w:r w:rsidRPr="00EC64F8">
        <w:rPr>
          <w:rFonts w:ascii="Arial" w:hAnsi="Arial" w:cs="Arial"/>
          <w:color w:val="333333"/>
          <w:sz w:val="22"/>
          <w:szCs w:val="22"/>
        </w:rPr>
        <w:t xml:space="preserve">Listesinin Açıklanması </w:t>
      </w:r>
    </w:p>
    <w:p w:rsidR="00AC7B5E" w:rsidRPr="00EC64F8" w:rsidRDefault="00AC7B5E" w:rsidP="00801E83">
      <w:pPr>
        <w:pStyle w:val="NormalWeb"/>
        <w:shd w:val="clear" w:color="auto" w:fill="FFFFFF"/>
        <w:spacing w:before="0" w:beforeAutospacing="0" w:after="150" w:afterAutospacing="0"/>
        <w:jc w:val="both"/>
        <w:rPr>
          <w:rFonts w:ascii="Arial" w:hAnsi="Arial" w:cs="Arial"/>
          <w:color w:val="333333"/>
          <w:sz w:val="22"/>
          <w:szCs w:val="22"/>
        </w:rPr>
      </w:pPr>
      <w:r w:rsidRPr="00EC64F8">
        <w:rPr>
          <w:rFonts w:ascii="Arial" w:hAnsi="Arial" w:cs="Arial"/>
          <w:color w:val="333333"/>
          <w:sz w:val="22"/>
          <w:szCs w:val="22"/>
        </w:rPr>
        <w:t>01/04/2022                                        Kesin Yerleştirme Sonuçlarının Açıklanması</w:t>
      </w:r>
    </w:p>
    <w:p w:rsidR="00FD78FE" w:rsidRPr="00EC64F8" w:rsidRDefault="00FD78FE" w:rsidP="00801E83">
      <w:pPr>
        <w:pStyle w:val="NormalWeb"/>
        <w:shd w:val="clear" w:color="auto" w:fill="FFFFFF"/>
        <w:spacing w:before="0" w:beforeAutospacing="0" w:after="150" w:afterAutospacing="0"/>
        <w:jc w:val="both"/>
        <w:rPr>
          <w:rFonts w:ascii="Arial" w:hAnsi="Arial" w:cs="Arial"/>
          <w:color w:val="333333"/>
        </w:rPr>
      </w:pPr>
    </w:p>
    <w:p w:rsidR="00FD78FE" w:rsidRPr="00EC64F8" w:rsidRDefault="00C46A50"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color w:val="1F4E79" w:themeColor="accent1" w:themeShade="80"/>
          <w:sz w:val="36"/>
          <w:szCs w:val="36"/>
          <w:u w:val="single"/>
        </w:rPr>
        <w:t xml:space="preserve">Yerleştirme Sonuçlarından Sonra </w:t>
      </w:r>
      <w:r w:rsidR="00FD78FE" w:rsidRPr="00EC64F8">
        <w:rPr>
          <w:rFonts w:ascii="Arial" w:hAnsi="Arial" w:cs="Arial"/>
          <w:b/>
          <w:color w:val="1F4E79" w:themeColor="accent1" w:themeShade="80"/>
          <w:sz w:val="36"/>
          <w:szCs w:val="36"/>
          <w:u w:val="single"/>
        </w:rPr>
        <w:t>Başvuru Aşamasında İstenilen Belgeler:</w:t>
      </w:r>
    </w:p>
    <w:p w:rsidR="00FD78FE" w:rsidRPr="00EC64F8" w:rsidRDefault="00FD78FE" w:rsidP="00801E83">
      <w:pPr>
        <w:pStyle w:val="NormalWeb"/>
        <w:shd w:val="clear" w:color="auto" w:fill="FFFFFF"/>
        <w:spacing w:before="0" w:beforeAutospacing="0" w:after="150" w:afterAutospacing="0"/>
        <w:jc w:val="both"/>
        <w:rPr>
          <w:rFonts w:ascii="Arial" w:hAnsi="Arial" w:cs="Arial"/>
          <w:color w:val="333333"/>
          <w:sz w:val="21"/>
          <w:szCs w:val="21"/>
        </w:rPr>
      </w:pPr>
    </w:p>
    <w:p w:rsidR="00153000" w:rsidRPr="00EC64F8" w:rsidRDefault="00FD78FE" w:rsidP="00801E83">
      <w:pPr>
        <w:pStyle w:val="NormalWeb"/>
        <w:shd w:val="clear" w:color="auto" w:fill="FFFFFF"/>
        <w:spacing w:before="0" w:beforeAutospacing="0" w:after="150" w:afterAutospacing="0"/>
        <w:jc w:val="both"/>
        <w:rPr>
          <w:rFonts w:ascii="Arial" w:hAnsi="Arial" w:cs="Arial"/>
          <w:color w:val="333333"/>
          <w:sz w:val="21"/>
          <w:szCs w:val="21"/>
        </w:rPr>
      </w:pPr>
      <w:r w:rsidRPr="00EC64F8">
        <w:rPr>
          <w:rFonts w:ascii="Arial" w:hAnsi="Arial" w:cs="Arial"/>
          <w:color w:val="333333"/>
          <w:sz w:val="21"/>
          <w:szCs w:val="21"/>
        </w:rPr>
        <w:t>1-</w:t>
      </w:r>
      <w:r w:rsidR="00AC7B5E" w:rsidRPr="00EC64F8">
        <w:rPr>
          <w:rFonts w:ascii="Arial" w:hAnsi="Arial" w:cs="Arial"/>
          <w:color w:val="333333"/>
          <w:sz w:val="21"/>
          <w:szCs w:val="21"/>
        </w:rPr>
        <w:t xml:space="preserve">Üç </w:t>
      </w:r>
      <w:r w:rsidR="00153000" w:rsidRPr="00EC64F8">
        <w:rPr>
          <w:rFonts w:ascii="Arial" w:hAnsi="Arial" w:cs="Arial"/>
          <w:color w:val="333333"/>
          <w:sz w:val="21"/>
          <w:szCs w:val="21"/>
        </w:rPr>
        <w:t>nüsha</w:t>
      </w:r>
      <w:r w:rsidR="003A4443" w:rsidRPr="00EC64F8">
        <w:rPr>
          <w:rFonts w:ascii="Arial" w:hAnsi="Arial" w:cs="Arial"/>
          <w:color w:val="333333"/>
          <w:sz w:val="21"/>
          <w:szCs w:val="21"/>
        </w:rPr>
        <w:t xml:space="preserve"> </w:t>
      </w:r>
      <w:r w:rsidR="00153000" w:rsidRPr="00EC64F8">
        <w:rPr>
          <w:rFonts w:ascii="Arial" w:hAnsi="Arial" w:cs="Arial"/>
          <w:color w:val="333333"/>
          <w:sz w:val="21"/>
          <w:szCs w:val="21"/>
        </w:rPr>
        <w:t xml:space="preserve">Pamukkale Üniversitesi </w:t>
      </w:r>
      <w:proofErr w:type="spellStart"/>
      <w:r w:rsidR="00AC7B5E" w:rsidRPr="00EC64F8">
        <w:rPr>
          <w:rFonts w:ascii="Arial" w:hAnsi="Arial" w:cs="Arial"/>
          <w:color w:val="333333"/>
          <w:sz w:val="21"/>
          <w:szCs w:val="21"/>
        </w:rPr>
        <w:t>Before</w:t>
      </w:r>
      <w:proofErr w:type="spellEnd"/>
      <w:r w:rsidR="00AC7B5E" w:rsidRPr="00EC64F8">
        <w:rPr>
          <w:rFonts w:ascii="Arial" w:hAnsi="Arial" w:cs="Arial"/>
          <w:color w:val="333333"/>
          <w:sz w:val="21"/>
          <w:szCs w:val="21"/>
        </w:rPr>
        <w:t xml:space="preserve"> </w:t>
      </w:r>
      <w:proofErr w:type="spellStart"/>
      <w:r w:rsidR="00AC7B5E" w:rsidRPr="00EC64F8">
        <w:rPr>
          <w:rFonts w:ascii="Arial" w:hAnsi="Arial" w:cs="Arial"/>
          <w:color w:val="333333"/>
          <w:sz w:val="21"/>
          <w:szCs w:val="21"/>
        </w:rPr>
        <w:t>the</w:t>
      </w:r>
      <w:proofErr w:type="spellEnd"/>
      <w:r w:rsidR="00AC7B5E" w:rsidRPr="00EC64F8">
        <w:rPr>
          <w:rFonts w:ascii="Arial" w:hAnsi="Arial" w:cs="Arial"/>
          <w:color w:val="333333"/>
          <w:sz w:val="21"/>
          <w:szCs w:val="21"/>
        </w:rPr>
        <w:t xml:space="preserve"> </w:t>
      </w:r>
      <w:proofErr w:type="spellStart"/>
      <w:r w:rsidR="00AC7B5E" w:rsidRPr="00EC64F8">
        <w:rPr>
          <w:rFonts w:ascii="Arial" w:hAnsi="Arial" w:cs="Arial"/>
          <w:color w:val="333333"/>
          <w:sz w:val="21"/>
          <w:szCs w:val="21"/>
        </w:rPr>
        <w:t>Mobility</w:t>
      </w:r>
      <w:proofErr w:type="spellEnd"/>
      <w:r w:rsidR="003A4443" w:rsidRPr="00EC64F8">
        <w:rPr>
          <w:rFonts w:ascii="Arial" w:hAnsi="Arial" w:cs="Arial"/>
          <w:color w:val="333333"/>
          <w:sz w:val="21"/>
          <w:szCs w:val="21"/>
        </w:rPr>
        <w:t xml:space="preserve"> </w:t>
      </w:r>
      <w:r w:rsidR="00153000" w:rsidRPr="00EC64F8">
        <w:rPr>
          <w:rFonts w:ascii="Arial" w:hAnsi="Arial" w:cs="Arial"/>
          <w:color w:val="333333"/>
          <w:sz w:val="21"/>
          <w:szCs w:val="21"/>
        </w:rPr>
        <w:t>belgesi</w:t>
      </w:r>
      <w:r w:rsidR="00D023FA" w:rsidRPr="00EC64F8">
        <w:rPr>
          <w:rFonts w:ascii="Arial" w:hAnsi="Arial" w:cs="Arial"/>
          <w:color w:val="333333"/>
          <w:sz w:val="21"/>
          <w:szCs w:val="21"/>
        </w:rPr>
        <w:t>nin hazırlanması gerekmektedir. E</w:t>
      </w:r>
      <w:r w:rsidR="00153000" w:rsidRPr="00EC64F8">
        <w:rPr>
          <w:rFonts w:ascii="Arial" w:hAnsi="Arial" w:cs="Arial"/>
          <w:color w:val="333333"/>
          <w:sz w:val="21"/>
          <w:szCs w:val="21"/>
        </w:rPr>
        <w:t>ğer kabul aldığınız üniversite ders seçimlerinizi OLA sistemi üzerinden yapmanızı istiyorsa ‘’</w:t>
      </w:r>
      <w:r w:rsidR="00D023FA" w:rsidRPr="00EC64F8">
        <w:rPr>
          <w:rFonts w:ascii="Arial" w:hAnsi="Arial" w:cs="Arial"/>
          <w:color w:val="333333"/>
          <w:sz w:val="21"/>
          <w:szCs w:val="21"/>
        </w:rPr>
        <w:t xml:space="preserve">Learning </w:t>
      </w:r>
      <w:proofErr w:type="spellStart"/>
      <w:r w:rsidR="00D023FA" w:rsidRPr="00EC64F8">
        <w:rPr>
          <w:rFonts w:ascii="Arial" w:hAnsi="Arial" w:cs="Arial"/>
          <w:color w:val="333333"/>
          <w:sz w:val="21"/>
          <w:szCs w:val="21"/>
        </w:rPr>
        <w:t>Agreement</w:t>
      </w:r>
      <w:proofErr w:type="spellEnd"/>
      <w:r w:rsidR="00D023FA" w:rsidRPr="00EC64F8">
        <w:rPr>
          <w:rFonts w:ascii="Arial" w:hAnsi="Arial" w:cs="Arial"/>
          <w:color w:val="333333"/>
          <w:sz w:val="21"/>
          <w:szCs w:val="21"/>
        </w:rPr>
        <w:t xml:space="preserve"> </w:t>
      </w:r>
      <w:proofErr w:type="spellStart"/>
      <w:r w:rsidR="00D023FA" w:rsidRPr="00EC64F8">
        <w:rPr>
          <w:rFonts w:ascii="Arial" w:hAnsi="Arial" w:cs="Arial"/>
          <w:color w:val="333333"/>
          <w:sz w:val="21"/>
          <w:szCs w:val="21"/>
        </w:rPr>
        <w:t>for</w:t>
      </w:r>
      <w:proofErr w:type="spellEnd"/>
      <w:r w:rsidR="00D023FA" w:rsidRPr="00EC64F8">
        <w:rPr>
          <w:rFonts w:ascii="Arial" w:hAnsi="Arial" w:cs="Arial"/>
          <w:color w:val="333333"/>
          <w:sz w:val="21"/>
          <w:szCs w:val="21"/>
        </w:rPr>
        <w:t xml:space="preserve"> EWP</w:t>
      </w:r>
      <w:r w:rsidR="00153000" w:rsidRPr="00EC64F8">
        <w:rPr>
          <w:rFonts w:ascii="Arial" w:hAnsi="Arial" w:cs="Arial"/>
          <w:color w:val="333333"/>
          <w:sz w:val="21"/>
          <w:szCs w:val="21"/>
        </w:rPr>
        <w:t xml:space="preserve">’’ belgesini tek nüsha olarak hazırlamanız gerekmektedir. </w:t>
      </w:r>
      <w:r w:rsidR="003A4443" w:rsidRPr="00EC64F8">
        <w:rPr>
          <w:rFonts w:ascii="Arial" w:hAnsi="Arial" w:cs="Arial"/>
          <w:color w:val="333333"/>
          <w:sz w:val="21"/>
          <w:szCs w:val="21"/>
        </w:rPr>
        <w:t>(</w:t>
      </w:r>
      <w:r w:rsidR="00153000" w:rsidRPr="00EC64F8">
        <w:rPr>
          <w:rFonts w:ascii="Arial" w:hAnsi="Arial" w:cs="Arial"/>
          <w:color w:val="333333"/>
          <w:sz w:val="21"/>
          <w:szCs w:val="21"/>
        </w:rPr>
        <w:t xml:space="preserve">Bu evraklarınız için </w:t>
      </w:r>
      <w:r w:rsidR="003A4443" w:rsidRPr="00EC64F8">
        <w:rPr>
          <w:rFonts w:ascii="Arial" w:hAnsi="Arial" w:cs="Arial"/>
          <w:color w:val="333333"/>
          <w:sz w:val="21"/>
          <w:szCs w:val="21"/>
        </w:rPr>
        <w:t>İmza</w:t>
      </w:r>
      <w:r w:rsidR="00FB1C75" w:rsidRPr="00EC64F8">
        <w:rPr>
          <w:rFonts w:ascii="Arial" w:hAnsi="Arial" w:cs="Arial"/>
          <w:color w:val="333333"/>
          <w:sz w:val="21"/>
          <w:szCs w:val="21"/>
        </w:rPr>
        <w:t xml:space="preserve">ları tamamlanmış yönetim kurulu </w:t>
      </w:r>
      <w:r w:rsidR="00421BD0" w:rsidRPr="00EC64F8">
        <w:rPr>
          <w:rFonts w:ascii="Arial" w:hAnsi="Arial" w:cs="Arial"/>
          <w:color w:val="333333"/>
          <w:sz w:val="21"/>
          <w:szCs w:val="21"/>
        </w:rPr>
        <w:t xml:space="preserve">kararı </w:t>
      </w:r>
      <w:r w:rsidR="003A4443" w:rsidRPr="00EC64F8">
        <w:rPr>
          <w:rFonts w:ascii="Arial" w:hAnsi="Arial" w:cs="Arial"/>
          <w:color w:val="333333"/>
          <w:sz w:val="21"/>
          <w:szCs w:val="21"/>
        </w:rPr>
        <w:t>alınmış</w:t>
      </w:r>
      <w:r w:rsidR="00153000" w:rsidRPr="00EC64F8">
        <w:rPr>
          <w:rFonts w:ascii="Arial" w:hAnsi="Arial" w:cs="Arial"/>
          <w:color w:val="333333"/>
          <w:sz w:val="21"/>
          <w:szCs w:val="21"/>
        </w:rPr>
        <w:t xml:space="preserve"> olmalı</w:t>
      </w:r>
      <w:r w:rsidR="00D023FA" w:rsidRPr="00EC64F8">
        <w:rPr>
          <w:rFonts w:ascii="Arial" w:hAnsi="Arial" w:cs="Arial"/>
          <w:color w:val="333333"/>
          <w:sz w:val="21"/>
          <w:szCs w:val="21"/>
        </w:rPr>
        <w:t>dır.</w:t>
      </w:r>
      <w:r w:rsidR="003A4443" w:rsidRPr="00EC64F8">
        <w:rPr>
          <w:rFonts w:ascii="Arial" w:hAnsi="Arial" w:cs="Arial"/>
          <w:color w:val="333333"/>
          <w:sz w:val="21"/>
          <w:szCs w:val="21"/>
        </w:rPr>
        <w:t>)</w:t>
      </w:r>
    </w:p>
    <w:p w:rsidR="00153000" w:rsidRPr="00EC64F8" w:rsidRDefault="00153000" w:rsidP="00801E83">
      <w:pPr>
        <w:pStyle w:val="NormalWeb"/>
        <w:shd w:val="clear" w:color="auto" w:fill="FFFFFF"/>
        <w:spacing w:before="0" w:beforeAutospacing="0" w:after="150" w:afterAutospacing="0"/>
        <w:jc w:val="both"/>
        <w:rPr>
          <w:rFonts w:ascii="Arial" w:hAnsi="Arial" w:cs="Arial"/>
          <w:color w:val="333333"/>
          <w:sz w:val="21"/>
          <w:szCs w:val="21"/>
        </w:rPr>
      </w:pPr>
      <w:r w:rsidRPr="00EC64F8">
        <w:rPr>
          <w:rFonts w:ascii="Arial" w:hAnsi="Arial" w:cs="Arial"/>
          <w:color w:val="333333"/>
          <w:sz w:val="21"/>
          <w:szCs w:val="21"/>
        </w:rPr>
        <w:t>2-Diğer hazırlamanız gereken tüm evraklar için kabul aldığınız üniversitenin başvuru sürecini takip etmeli ve başvuru için istediği evrakları hazırlamalısınız.</w:t>
      </w:r>
    </w:p>
    <w:p w:rsidR="00EF20E7" w:rsidRPr="00EC64F8" w:rsidRDefault="00EF20E7"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7A7578" w:rsidRPr="00EC64F8" w:rsidRDefault="007A7578"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081787" w:rsidRPr="00EC64F8" w:rsidRDefault="00081787"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color w:val="1F4E79" w:themeColor="accent1" w:themeShade="80"/>
          <w:sz w:val="36"/>
          <w:szCs w:val="36"/>
          <w:u w:val="single"/>
        </w:rPr>
        <w:t>Hibeler:</w:t>
      </w:r>
    </w:p>
    <w:tbl>
      <w:tblPr>
        <w:tblStyle w:val="TabloKlavuzu"/>
        <w:tblW w:w="0" w:type="auto"/>
        <w:tblLook w:val="04A0" w:firstRow="1" w:lastRow="0" w:firstColumn="1" w:lastColumn="0" w:noHBand="0" w:noVBand="1"/>
      </w:tblPr>
      <w:tblGrid>
        <w:gridCol w:w="2614"/>
        <w:gridCol w:w="2614"/>
        <w:gridCol w:w="2138"/>
      </w:tblGrid>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Hayat pahalılığına göre ülke gruplar</w:t>
            </w: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Hareketlilikte Misafir Olunan Ülkeler</w:t>
            </w: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Aylık Hibe Öğrenim (Avro)</w:t>
            </w: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1.ve2.Grup Program Ülkeleri</w:t>
            </w:r>
          </w:p>
        </w:tc>
        <w:tc>
          <w:tcPr>
            <w:tcW w:w="2614" w:type="dxa"/>
          </w:tcPr>
          <w:p w:rsidR="002B35AE" w:rsidRPr="00EC64F8" w:rsidRDefault="002B35AE" w:rsidP="002B35AE">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Almanya, Avusturya, Danimarka, Finlandiya, Fransa, İrlanda, İtalya, Lüksemburg Lihtenştayn, Norveç, İsveç, İzlanda, Almanya, Belçika, Hollanda, İspanya, Malta, Portekiz, Yunanistan,</w:t>
            </w: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600</w:t>
            </w: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3. Grup Program Ülkeleri</w:t>
            </w: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Bulgaristan, Estonya, Macaristan, Letonya, Litvanya, Polonya, Romanya, Slovakya, Kuzey Makedonya, Çek Cumhuriyeti, Sırbistan, Hırvatistan, Slovenya, Türkiye</w:t>
            </w: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450</w:t>
            </w:r>
          </w:p>
        </w:tc>
      </w:tr>
    </w:tbl>
    <w:p w:rsidR="002B35AE" w:rsidRPr="00EC64F8" w:rsidRDefault="002B35AE" w:rsidP="00801E83">
      <w:pPr>
        <w:pStyle w:val="NormalWeb"/>
        <w:shd w:val="clear" w:color="auto" w:fill="FFFFFF"/>
        <w:spacing w:before="0" w:beforeAutospacing="0" w:after="150" w:afterAutospacing="0"/>
        <w:jc w:val="both"/>
        <w:rPr>
          <w:rFonts w:ascii="Arial" w:hAnsi="Arial" w:cs="Arial"/>
          <w:color w:val="000000" w:themeColor="text1"/>
          <w:sz w:val="28"/>
          <w:szCs w:val="28"/>
        </w:rPr>
      </w:pPr>
    </w:p>
    <w:p w:rsidR="00ED5346" w:rsidRPr="00EC64F8" w:rsidRDefault="00ED5346"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color w:val="1F4E79" w:themeColor="accent1" w:themeShade="80"/>
          <w:sz w:val="36"/>
          <w:szCs w:val="36"/>
          <w:u w:val="single"/>
        </w:rPr>
        <w:t>Ceza ve Yükümlülükler:</w:t>
      </w:r>
    </w:p>
    <w:p w:rsidR="00ED5346" w:rsidRPr="00EC64F8" w:rsidRDefault="00ED5346"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1-</w:t>
      </w:r>
      <w:r w:rsidRPr="00EC64F8">
        <w:rPr>
          <w:rFonts w:ascii="Arial" w:hAnsi="Arial" w:cs="Arial"/>
          <w:sz w:val="22"/>
          <w:szCs w:val="22"/>
        </w:rPr>
        <w:t>Hareketlilk döneminin öncesinde ve sonrasında OLS( Çevrim içi Dil Desteği) dil değerlend</w:t>
      </w:r>
      <w:r w:rsidR="00421BD0" w:rsidRPr="00EC64F8">
        <w:rPr>
          <w:rFonts w:ascii="Arial" w:hAnsi="Arial" w:cs="Arial"/>
          <w:sz w:val="22"/>
          <w:szCs w:val="22"/>
        </w:rPr>
        <w:t>irme sınavını yapmak zorundadır. OLS Online dil değerlendirmesinin yapılmadığı durumlarda (biri ya</w:t>
      </w:r>
      <w:r w:rsidR="00FB1C75" w:rsidRPr="00EC64F8">
        <w:rPr>
          <w:rFonts w:ascii="Arial" w:hAnsi="Arial" w:cs="Arial"/>
          <w:sz w:val="22"/>
          <w:szCs w:val="22"/>
        </w:rPr>
        <w:t xml:space="preserve"> </w:t>
      </w:r>
      <w:r w:rsidR="00421BD0" w:rsidRPr="00EC64F8">
        <w:rPr>
          <w:rFonts w:ascii="Arial" w:hAnsi="Arial" w:cs="Arial"/>
          <w:sz w:val="22"/>
          <w:szCs w:val="22"/>
        </w:rPr>
        <w:t>da her</w:t>
      </w:r>
      <w:r w:rsidR="00FB1C75" w:rsidRPr="00EC64F8">
        <w:rPr>
          <w:rFonts w:ascii="Arial" w:hAnsi="Arial" w:cs="Arial"/>
          <w:sz w:val="22"/>
          <w:szCs w:val="22"/>
        </w:rPr>
        <w:t xml:space="preserve"> </w:t>
      </w:r>
      <w:r w:rsidR="00421BD0" w:rsidRPr="00EC64F8">
        <w:rPr>
          <w:rFonts w:ascii="Arial" w:hAnsi="Arial" w:cs="Arial"/>
          <w:sz w:val="22"/>
          <w:szCs w:val="22"/>
        </w:rPr>
        <w:t>ikisi) toplam hareketlili</w:t>
      </w:r>
      <w:r w:rsidR="00FB1C75" w:rsidRPr="00EC64F8">
        <w:rPr>
          <w:rFonts w:ascii="Arial" w:hAnsi="Arial" w:cs="Arial"/>
          <w:sz w:val="22"/>
          <w:szCs w:val="22"/>
        </w:rPr>
        <w:t>k gün sayısı üzerinden %5 kesint</w:t>
      </w:r>
      <w:r w:rsidR="00421BD0" w:rsidRPr="00EC64F8">
        <w:rPr>
          <w:rFonts w:ascii="Arial" w:hAnsi="Arial" w:cs="Arial"/>
          <w:sz w:val="22"/>
          <w:szCs w:val="22"/>
        </w:rPr>
        <w:t>i uygulanır.</w:t>
      </w:r>
    </w:p>
    <w:p w:rsidR="003C1A31" w:rsidRPr="00EC64F8" w:rsidRDefault="00421BD0"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2-</w:t>
      </w:r>
      <w:r w:rsidR="00FB1C75" w:rsidRPr="00EC64F8">
        <w:rPr>
          <w:rFonts w:ascii="Arial" w:hAnsi="Arial" w:cs="Arial"/>
          <w:sz w:val="22"/>
          <w:szCs w:val="22"/>
        </w:rPr>
        <w:t xml:space="preserve">Öğrenim hareketliliğinde; </w:t>
      </w:r>
      <w:r w:rsidRPr="00EC64F8">
        <w:rPr>
          <w:rFonts w:ascii="Arial" w:hAnsi="Arial" w:cs="Arial"/>
          <w:sz w:val="22"/>
          <w:szCs w:val="22"/>
        </w:rPr>
        <w:t>katılımcının toplam hareket sü</w:t>
      </w:r>
      <w:r w:rsidR="00FB1C75" w:rsidRPr="00EC64F8">
        <w:rPr>
          <w:rFonts w:ascii="Arial" w:hAnsi="Arial" w:cs="Arial"/>
          <w:sz w:val="22"/>
          <w:szCs w:val="22"/>
        </w:rPr>
        <w:t xml:space="preserve">resi </w:t>
      </w:r>
      <w:proofErr w:type="gramStart"/>
      <w:r w:rsidR="00FB1C75" w:rsidRPr="00EC64F8">
        <w:rPr>
          <w:rFonts w:ascii="Arial" w:hAnsi="Arial" w:cs="Arial"/>
          <w:sz w:val="22"/>
          <w:szCs w:val="22"/>
        </w:rPr>
        <w:t>baz</w:t>
      </w:r>
      <w:proofErr w:type="gramEnd"/>
      <w:r w:rsidR="00FB1C75" w:rsidRPr="00EC64F8">
        <w:rPr>
          <w:rFonts w:ascii="Arial" w:hAnsi="Arial" w:cs="Arial"/>
          <w:sz w:val="22"/>
          <w:szCs w:val="22"/>
        </w:rPr>
        <w:t xml:space="preserve"> alınarak </w:t>
      </w:r>
      <w:r w:rsidRPr="00EC64F8">
        <w:rPr>
          <w:rFonts w:ascii="Arial" w:hAnsi="Arial" w:cs="Arial"/>
          <w:sz w:val="22"/>
          <w:szCs w:val="22"/>
        </w:rPr>
        <w:t>tek dönemlik faaliyetlerde 7,5 ECTS, çift dönemlik faaliyetlerde (tek dönem 7,5 ECTS alt limitine bakılmaksızın)toplam 15 ECTS geçme zorunluluğu bulunmaktadır</w:t>
      </w:r>
      <w:r w:rsidR="00FB1C75" w:rsidRPr="00EC64F8">
        <w:rPr>
          <w:rFonts w:ascii="Arial" w:hAnsi="Arial" w:cs="Arial"/>
          <w:sz w:val="22"/>
          <w:szCs w:val="22"/>
        </w:rPr>
        <w:t xml:space="preserve">. </w:t>
      </w:r>
      <w:r w:rsidRPr="00EC64F8">
        <w:rPr>
          <w:rFonts w:ascii="Arial" w:hAnsi="Arial" w:cs="Arial"/>
          <w:sz w:val="22"/>
          <w:szCs w:val="22"/>
        </w:rPr>
        <w:t>Aksi takdirde toplam hareket</w:t>
      </w:r>
      <w:r w:rsidR="00AA48D0" w:rsidRPr="00EC64F8">
        <w:rPr>
          <w:rFonts w:ascii="Arial" w:hAnsi="Arial" w:cs="Arial"/>
          <w:sz w:val="22"/>
          <w:szCs w:val="22"/>
        </w:rPr>
        <w:t xml:space="preserve">lilik gün sayısı üzerinden % 30 </w:t>
      </w:r>
      <w:r w:rsidRPr="00EC64F8">
        <w:rPr>
          <w:rFonts w:ascii="Arial" w:hAnsi="Arial" w:cs="Arial"/>
          <w:sz w:val="22"/>
          <w:szCs w:val="22"/>
        </w:rPr>
        <w:t xml:space="preserve">kesinti yapılacaktır. </w:t>
      </w:r>
    </w:p>
    <w:p w:rsidR="00AA48D0" w:rsidRPr="00EC64F8" w:rsidRDefault="002B35AE"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3</w:t>
      </w:r>
      <w:r w:rsidR="00AA48D0" w:rsidRPr="00EC64F8">
        <w:rPr>
          <w:rFonts w:ascii="Arial" w:hAnsi="Arial" w:cs="Arial"/>
          <w:b/>
          <w:sz w:val="22"/>
          <w:szCs w:val="22"/>
        </w:rPr>
        <w:t>-</w:t>
      </w:r>
      <w:r w:rsidRPr="00EC64F8">
        <w:rPr>
          <w:rFonts w:ascii="Arial" w:hAnsi="Arial" w:cs="Arial"/>
        </w:rPr>
        <w:t xml:space="preserve"> </w:t>
      </w:r>
      <w:r w:rsidRPr="00EC64F8">
        <w:rPr>
          <w:rFonts w:ascii="Arial" w:hAnsi="Arial" w:cs="Arial"/>
          <w:sz w:val="22"/>
          <w:szCs w:val="22"/>
        </w:rPr>
        <w:t xml:space="preserve">Katılımcı, </w:t>
      </w:r>
      <w:proofErr w:type="spellStart"/>
      <w:r w:rsidRPr="00EC64F8">
        <w:rPr>
          <w:rFonts w:ascii="Arial" w:hAnsi="Arial" w:cs="Arial"/>
          <w:sz w:val="22"/>
          <w:szCs w:val="22"/>
        </w:rPr>
        <w:t>Erasmus</w:t>
      </w:r>
      <w:proofErr w:type="spellEnd"/>
      <w:r w:rsidRPr="00EC64F8">
        <w:rPr>
          <w:rFonts w:ascii="Arial" w:hAnsi="Arial" w:cs="Arial"/>
          <w:sz w:val="22"/>
          <w:szCs w:val="22"/>
        </w:rPr>
        <w:t xml:space="preserve">+ öğrenim hareketliliği sonunda katılım sertifikası </w:t>
      </w:r>
      <w:proofErr w:type="spellStart"/>
      <w:proofErr w:type="gramStart"/>
      <w:r w:rsidRPr="00EC64F8">
        <w:rPr>
          <w:rFonts w:ascii="Arial" w:hAnsi="Arial" w:cs="Arial"/>
          <w:sz w:val="22"/>
          <w:szCs w:val="22"/>
        </w:rPr>
        <w:t>asıllarını,learning</w:t>
      </w:r>
      <w:proofErr w:type="spellEnd"/>
      <w:proofErr w:type="gramEnd"/>
      <w:r w:rsidRPr="00EC64F8">
        <w:rPr>
          <w:rFonts w:ascii="Arial" w:hAnsi="Arial" w:cs="Arial"/>
          <w:sz w:val="22"/>
          <w:szCs w:val="22"/>
        </w:rPr>
        <w:t xml:space="preserve"> </w:t>
      </w:r>
      <w:proofErr w:type="spellStart"/>
      <w:r w:rsidRPr="00EC64F8">
        <w:rPr>
          <w:rFonts w:ascii="Arial" w:hAnsi="Arial" w:cs="Arial"/>
          <w:sz w:val="22"/>
          <w:szCs w:val="22"/>
        </w:rPr>
        <w:t>agreement,during</w:t>
      </w:r>
      <w:proofErr w:type="spellEnd"/>
      <w:r w:rsidRPr="00EC64F8">
        <w:rPr>
          <w:rFonts w:ascii="Arial" w:hAnsi="Arial" w:cs="Arial"/>
          <w:sz w:val="22"/>
          <w:szCs w:val="22"/>
        </w:rPr>
        <w:t xml:space="preserve"> </w:t>
      </w:r>
      <w:proofErr w:type="spellStart"/>
      <w:r w:rsidRPr="00EC64F8">
        <w:rPr>
          <w:rFonts w:ascii="Arial" w:hAnsi="Arial" w:cs="Arial"/>
          <w:sz w:val="22"/>
          <w:szCs w:val="22"/>
        </w:rPr>
        <w:t>the</w:t>
      </w:r>
      <w:proofErr w:type="spellEnd"/>
      <w:r w:rsidRPr="00EC64F8">
        <w:rPr>
          <w:rFonts w:ascii="Arial" w:hAnsi="Arial" w:cs="Arial"/>
          <w:sz w:val="22"/>
          <w:szCs w:val="22"/>
        </w:rPr>
        <w:t xml:space="preserve"> </w:t>
      </w:r>
      <w:proofErr w:type="spellStart"/>
      <w:r w:rsidRPr="00EC64F8">
        <w:rPr>
          <w:rFonts w:ascii="Arial" w:hAnsi="Arial" w:cs="Arial"/>
          <w:sz w:val="22"/>
          <w:szCs w:val="22"/>
        </w:rPr>
        <w:t>Mobility</w:t>
      </w:r>
      <w:proofErr w:type="spellEnd"/>
      <w:r w:rsidRPr="00EC64F8">
        <w:rPr>
          <w:rFonts w:ascii="Arial" w:hAnsi="Arial" w:cs="Arial"/>
          <w:sz w:val="22"/>
          <w:szCs w:val="22"/>
        </w:rPr>
        <w:t xml:space="preserve">, </w:t>
      </w:r>
      <w:proofErr w:type="spellStart"/>
      <w:r w:rsidRPr="00EC64F8">
        <w:rPr>
          <w:rFonts w:ascii="Arial" w:hAnsi="Arial" w:cs="Arial"/>
          <w:sz w:val="22"/>
          <w:szCs w:val="22"/>
        </w:rPr>
        <w:t>after</w:t>
      </w:r>
      <w:proofErr w:type="spellEnd"/>
      <w:r w:rsidRPr="00EC64F8">
        <w:rPr>
          <w:rFonts w:ascii="Arial" w:hAnsi="Arial" w:cs="Arial"/>
          <w:sz w:val="22"/>
          <w:szCs w:val="22"/>
        </w:rPr>
        <w:t xml:space="preserve"> </w:t>
      </w:r>
      <w:proofErr w:type="spellStart"/>
      <w:r w:rsidRPr="00EC64F8">
        <w:rPr>
          <w:rFonts w:ascii="Arial" w:hAnsi="Arial" w:cs="Arial"/>
          <w:sz w:val="22"/>
          <w:szCs w:val="22"/>
        </w:rPr>
        <w:t>the</w:t>
      </w:r>
      <w:proofErr w:type="spellEnd"/>
      <w:r w:rsidRPr="00EC64F8">
        <w:rPr>
          <w:rFonts w:ascii="Arial" w:hAnsi="Arial" w:cs="Arial"/>
          <w:sz w:val="22"/>
          <w:szCs w:val="22"/>
        </w:rPr>
        <w:t xml:space="preserve"> </w:t>
      </w:r>
      <w:proofErr w:type="spellStart"/>
      <w:r w:rsidRPr="00EC64F8">
        <w:rPr>
          <w:rFonts w:ascii="Arial" w:hAnsi="Arial" w:cs="Arial"/>
          <w:sz w:val="22"/>
          <w:szCs w:val="22"/>
        </w:rPr>
        <w:t>Mobility</w:t>
      </w:r>
      <w:proofErr w:type="spellEnd"/>
      <w:r w:rsidRPr="00EC64F8">
        <w:rPr>
          <w:rFonts w:ascii="Arial" w:hAnsi="Arial" w:cs="Arial"/>
          <w:sz w:val="22"/>
          <w:szCs w:val="22"/>
        </w:rPr>
        <w:t xml:space="preserve"> ıslak imzalı belgelerini, en geç Pamukkale Üniversitesi Akademik takvimde yer alan bir sonraki dönemin ders kayıt başlangıç tarihine kadar teslim etmek, mezun olmam durumunda ise; katılım sertifikasında yazan son tarihten itibaren 60 takvim gününe kadar belgelerini ofise teslim etmekle yükümlüdür. Aksi takdirde hareketlilik gün sayısı üzerinden %100 kesinti uygulanır</w:t>
      </w:r>
      <w:r w:rsidR="00D039E4" w:rsidRPr="00EC64F8">
        <w:rPr>
          <w:rFonts w:ascii="Arial" w:hAnsi="Arial" w:cs="Arial"/>
          <w:sz w:val="22"/>
          <w:szCs w:val="22"/>
        </w:rPr>
        <w:t>.</w:t>
      </w:r>
    </w:p>
    <w:p w:rsidR="00EF20E7" w:rsidRPr="00EC64F8" w:rsidRDefault="002B35AE" w:rsidP="00801E83">
      <w:pPr>
        <w:pStyle w:val="NormalWeb"/>
        <w:shd w:val="clear" w:color="auto" w:fill="FFFFFF"/>
        <w:spacing w:before="0" w:beforeAutospacing="0" w:after="150" w:afterAutospacing="0"/>
        <w:jc w:val="both"/>
        <w:rPr>
          <w:rFonts w:ascii="Arial" w:hAnsi="Arial" w:cs="Arial"/>
          <w:b/>
          <w:color w:val="1F4E79" w:themeColor="accent1" w:themeShade="80"/>
          <w:sz w:val="20"/>
          <w:szCs w:val="22"/>
          <w:u w:val="single"/>
        </w:rPr>
      </w:pPr>
      <w:r w:rsidRPr="00EC64F8">
        <w:rPr>
          <w:rFonts w:ascii="Arial" w:hAnsi="Arial" w:cs="Arial"/>
          <w:b/>
          <w:sz w:val="22"/>
        </w:rPr>
        <w:t>4-</w:t>
      </w:r>
      <w:r w:rsidRPr="00EC64F8">
        <w:rPr>
          <w:rFonts w:ascii="Arial" w:hAnsi="Arial" w:cs="Arial"/>
          <w:sz w:val="22"/>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C56E1" w:rsidRPr="00EC64F8" w:rsidRDefault="00BC56E1" w:rsidP="00801E83">
      <w:pPr>
        <w:pStyle w:val="NormalWeb"/>
        <w:shd w:val="clear" w:color="auto" w:fill="FFFFFF"/>
        <w:spacing w:before="0" w:beforeAutospacing="0" w:after="150" w:afterAutospacing="0"/>
        <w:jc w:val="both"/>
        <w:rPr>
          <w:rFonts w:ascii="Arial" w:hAnsi="Arial" w:cs="Arial"/>
          <w:b/>
          <w:color w:val="1F4E79" w:themeColor="accent1" w:themeShade="80"/>
          <w:sz w:val="22"/>
          <w:szCs w:val="22"/>
          <w:u w:val="single"/>
        </w:rPr>
      </w:pPr>
    </w:p>
    <w:p w:rsidR="00BC56E1" w:rsidRPr="00EC64F8" w:rsidRDefault="00BC56E1" w:rsidP="00801E83">
      <w:pPr>
        <w:pStyle w:val="NormalWeb"/>
        <w:shd w:val="clear" w:color="auto" w:fill="FFFFFF"/>
        <w:spacing w:before="0" w:beforeAutospacing="0" w:after="150" w:afterAutospacing="0"/>
        <w:jc w:val="both"/>
        <w:rPr>
          <w:rFonts w:ascii="Arial" w:hAnsi="Arial" w:cs="Arial"/>
          <w:b/>
          <w:color w:val="1F4E79" w:themeColor="accent1" w:themeShade="80"/>
          <w:sz w:val="22"/>
          <w:szCs w:val="22"/>
          <w:u w:val="single"/>
        </w:rPr>
      </w:pPr>
      <w:r w:rsidRPr="00EC64F8">
        <w:rPr>
          <w:rFonts w:ascii="Arial" w:hAnsi="Arial" w:cs="Arial"/>
          <w:b/>
          <w:color w:val="1F4E79" w:themeColor="accent1" w:themeShade="80"/>
          <w:sz w:val="22"/>
          <w:szCs w:val="22"/>
          <w:u w:val="single"/>
        </w:rPr>
        <w:t xml:space="preserve">Not: </w:t>
      </w:r>
    </w:p>
    <w:p w:rsidR="00FD78FE" w:rsidRPr="00EC64F8" w:rsidRDefault="00FA025C" w:rsidP="00801E83">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cs="Arial"/>
          <w:color w:val="000000" w:themeColor="text1"/>
          <w:sz w:val="22"/>
          <w:szCs w:val="22"/>
        </w:rPr>
        <w:t>Bu ilan K171</w:t>
      </w:r>
      <w:bookmarkStart w:id="0" w:name="_GoBack"/>
      <w:bookmarkEnd w:id="0"/>
      <w:r w:rsidR="00BC56E1" w:rsidRPr="00EC64F8">
        <w:rPr>
          <w:rFonts w:ascii="Arial" w:hAnsi="Arial" w:cs="Arial"/>
          <w:color w:val="000000" w:themeColor="text1"/>
          <w:sz w:val="22"/>
          <w:szCs w:val="22"/>
        </w:rPr>
        <w:t xml:space="preserve"> Erasmus+  ve staj öğrenim hareketliliği kapsamamaktadır</w:t>
      </w:r>
      <w:r w:rsidR="00FB1C75" w:rsidRPr="00EC64F8">
        <w:rPr>
          <w:rFonts w:ascii="Arial" w:hAnsi="Arial" w:cs="Arial"/>
          <w:color w:val="000000" w:themeColor="text1"/>
          <w:sz w:val="22"/>
          <w:szCs w:val="22"/>
        </w:rPr>
        <w:t>.</w:t>
      </w:r>
    </w:p>
    <w:sectPr w:rsidR="00FD78FE" w:rsidRPr="00EC64F8" w:rsidSect="00351A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2E"/>
    <w:rsid w:val="00081787"/>
    <w:rsid w:val="000C37E5"/>
    <w:rsid w:val="00153000"/>
    <w:rsid w:val="00166761"/>
    <w:rsid w:val="00196E93"/>
    <w:rsid w:val="00242DEE"/>
    <w:rsid w:val="00294F0D"/>
    <w:rsid w:val="002A1928"/>
    <w:rsid w:val="002B35AE"/>
    <w:rsid w:val="00351A91"/>
    <w:rsid w:val="003A4443"/>
    <w:rsid w:val="003C1A31"/>
    <w:rsid w:val="003E4A88"/>
    <w:rsid w:val="00421BD0"/>
    <w:rsid w:val="004F36E4"/>
    <w:rsid w:val="00504042"/>
    <w:rsid w:val="006C42B6"/>
    <w:rsid w:val="0074200E"/>
    <w:rsid w:val="00747695"/>
    <w:rsid w:val="00767CF8"/>
    <w:rsid w:val="00780C43"/>
    <w:rsid w:val="007A7578"/>
    <w:rsid w:val="00801E83"/>
    <w:rsid w:val="008054E5"/>
    <w:rsid w:val="00806C85"/>
    <w:rsid w:val="008B0FD8"/>
    <w:rsid w:val="00953B2E"/>
    <w:rsid w:val="009672CD"/>
    <w:rsid w:val="009F18CB"/>
    <w:rsid w:val="00AA48D0"/>
    <w:rsid w:val="00AC474F"/>
    <w:rsid w:val="00AC7B5E"/>
    <w:rsid w:val="00B41653"/>
    <w:rsid w:val="00B45559"/>
    <w:rsid w:val="00BC56E1"/>
    <w:rsid w:val="00C46A50"/>
    <w:rsid w:val="00CF7D16"/>
    <w:rsid w:val="00D023FA"/>
    <w:rsid w:val="00D03180"/>
    <w:rsid w:val="00D039E4"/>
    <w:rsid w:val="00D24956"/>
    <w:rsid w:val="00D6455D"/>
    <w:rsid w:val="00D708C1"/>
    <w:rsid w:val="00D814D9"/>
    <w:rsid w:val="00DC63BA"/>
    <w:rsid w:val="00E7547F"/>
    <w:rsid w:val="00EC2E0C"/>
    <w:rsid w:val="00EC64F8"/>
    <w:rsid w:val="00ED5346"/>
    <w:rsid w:val="00EF20E7"/>
    <w:rsid w:val="00FA025C"/>
    <w:rsid w:val="00FB1C75"/>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98C9"/>
  <w15:chartTrackingRefBased/>
  <w15:docId w15:val="{40715699-B86C-4BED-B2D4-0D991732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5B75-5069-44D3-9B47-A39DB5BB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cp:lastPrinted>2017-10-30T11:53:00Z</cp:lastPrinted>
  <dcterms:created xsi:type="dcterms:W3CDTF">2021-12-24T12:51:00Z</dcterms:created>
  <dcterms:modified xsi:type="dcterms:W3CDTF">2021-12-24T12:54:00Z</dcterms:modified>
</cp:coreProperties>
</file>