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952BC7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Dekanlık Makamı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952BC7" w:rsidP="00DD12B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58387A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947419"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12131F" w:rsidRDefault="00952BC7" w:rsidP="0058387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Rektör 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5641FD" w:rsidP="001F457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 Yardımcısı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E90DFF" w:rsidRDefault="0058387A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58387A">
              <w:rPr>
                <w:rFonts w:ascii="Cambria" w:hAnsi="Cambria"/>
              </w:rPr>
              <w:t>Pamukkale Üniversitesi</w:t>
            </w:r>
            <w:r w:rsidR="000D2E7B" w:rsidRPr="0012131F">
              <w:rPr>
                <w:rFonts w:ascii="Cambria" w:hAnsi="Cambria"/>
              </w:rPr>
              <w:t xml:space="preserve"> üst yönetimi tarafından belirlenen amaç ve ilkelere uygun olarak; birimin tüm faaliyetleri</w:t>
            </w:r>
            <w:r w:rsidR="000D2E7B">
              <w:rPr>
                <w:rFonts w:ascii="Cambria" w:hAnsi="Cambria"/>
              </w:rPr>
              <w:t xml:space="preserve"> ile ilgili</w:t>
            </w:r>
            <w:r w:rsidR="000D2E7B" w:rsidRPr="0012131F">
              <w:rPr>
                <w:rFonts w:ascii="Cambria" w:hAnsi="Cambria"/>
              </w:rPr>
              <w:t>, etkenlik ve verimlilik ilkelerine uygun olarak yürütülmesi amacıyla</w:t>
            </w:r>
            <w:r w:rsidR="000D2E7B">
              <w:rPr>
                <w:rFonts w:ascii="Cambria" w:hAnsi="Cambria"/>
              </w:rPr>
              <w:t xml:space="preserve"> çalışmalar yapmak. F</w:t>
            </w:r>
            <w:r w:rsidR="00E90DFF" w:rsidRPr="00E90DFF">
              <w:rPr>
                <w:rFonts w:ascii="Cambria" w:hAnsi="Cambria"/>
              </w:rPr>
              <w:t xml:space="preserve">akültenin </w:t>
            </w:r>
            <w:proofErr w:type="gramStart"/>
            <w:r w:rsidR="00E90DFF" w:rsidRPr="00E90DFF">
              <w:rPr>
                <w:rFonts w:ascii="Cambria" w:hAnsi="Cambria"/>
              </w:rPr>
              <w:t>vizyonu</w:t>
            </w:r>
            <w:proofErr w:type="gramEnd"/>
            <w:r w:rsidR="00E90DFF" w:rsidRPr="00E90DFF">
              <w:rPr>
                <w:rFonts w:ascii="Cambria" w:hAnsi="Cambria"/>
              </w:rPr>
              <w:t>, misyonu doğrultusunda eğitim ve öğretimi gerçekleştirmek için çalışmaları yapmak, planlamak, yönlendirmek, koordine etmek ve denetlemek.</w:t>
            </w:r>
          </w:p>
          <w:p w:rsidR="00207A80" w:rsidRPr="0012131F" w:rsidRDefault="00E90DFF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146827" w:rsidRDefault="00146827" w:rsidP="00146827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2547 Sayılı Yüksek Öğretim Kanununda verilen görevleri yapmak.</w:t>
            </w:r>
          </w:p>
          <w:p w:rsidR="00AC54F8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 xml:space="preserve">Fakülte kurullarına başkanlık eder ve kurul kararlarının uygulanmasını sağlar. 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 birimleri arasında eşgüdümü sağlayarak fakülte birimleri arasında düzenli çalışmayı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 xml:space="preserve">Fakültenin </w:t>
            </w:r>
            <w:proofErr w:type="gramStart"/>
            <w:r w:rsidRPr="00D61027">
              <w:rPr>
                <w:rFonts w:ascii="Cambria" w:hAnsi="Cambria"/>
              </w:rPr>
              <w:t>misyon</w:t>
            </w:r>
            <w:proofErr w:type="gramEnd"/>
            <w:r w:rsidRPr="00D61027">
              <w:rPr>
                <w:rFonts w:ascii="Cambria" w:hAnsi="Cambria"/>
              </w:rPr>
              <w:t xml:space="preserve"> ve vizyonunu belirler; bunu, Fakültenin tüm çalışanları ile paylaşır, gerçekleşmesi için çalışanları motive eder.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Her yıl Fakültenin analitik bütçesinin gerekçeleri ile birlikte hazırlanmasını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Taşınırların etkili, ekonomik, verimli ve hukuka uygun olarak edinilmesini ve kullanılmasını; kontrollerinin yapılmasını, taşınır kayıt ve kontrol yetkilisi vasıtasıyla kayıtlarının saydam bir şekilde tutulmasını ve hazırlanan Yönetim Hesabının verilmesini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kadro ihtiyaçlarını hazırlatır ve Rektörlük makamına sunar.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birimleri üzerinde genel gözetim ve denetim görevini yapar.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Fakültede bilgisayar ve çıktı ortamında bilgi sisteminin oluşmasını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Bilgi sistemi için gerekli olan anketlerin hazırlanmasını ve uygulanmasını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Fakültede eğitim-öğretimin düzenli bir şekilde sürdürülmesini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Eğitim-öğretim ve araştırmalarla ilgili politikalar ve stratejiler geliştirir.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idari ve akademik personeli için ihtiyaç duyulan alanlarda kurs, seminer ve konferans gibi etkinlikler düzenleyerek Fakültenin sürekli öğrenen bir organizasyon haline gelmesi için çalışır.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 değerlendirme ve kalite geliştirme çalışmalarının düzenli bir biçimde yürütülmesini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eğitim-öğretim sistemiyle ilgili sorunları tespit eder, çözüme kavuşturur, gerektiğinde üst makamlara iletir.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Eğitim-öğretimde yükselen değerleri takip eder ve Fakülte bazında uygulanmasını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Fakültede araştırma projelerinin düzenli olarak hazırlanmasını ve sürdürülmesini sağlar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stratejik planını hazırlanmasını sağlar.</w:t>
            </w:r>
          </w:p>
          <w:p w:rsid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Fakültenin fiziki donanımı ile insan kaynaklarının etkili ve verimli olarak kullanılmasını sağlar.</w:t>
            </w:r>
          </w:p>
          <w:p w:rsidR="004D298F" w:rsidRPr="004D298F" w:rsidRDefault="004D298F" w:rsidP="003616EE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4D298F">
              <w:rPr>
                <w:rFonts w:ascii="Cambria" w:hAnsi="Cambria"/>
              </w:rPr>
              <w:t>Harcama yetkilisi olarak</w:t>
            </w:r>
            <w:r w:rsidR="005B3EE7">
              <w:rPr>
                <w:rFonts w:ascii="Cambria" w:hAnsi="Cambria"/>
              </w:rPr>
              <w:t>,</w:t>
            </w:r>
            <w:r w:rsidRPr="004D298F">
              <w:rPr>
                <w:rFonts w:ascii="Cambria" w:hAnsi="Cambria"/>
              </w:rPr>
              <w:t xml:space="preserve"> harcama talimatlarını bütçe ilke ve esaslarına, kanun, tüzük ve yönetmelikler ile diğer mevzuata uygun </w:t>
            </w:r>
            <w:r w:rsidR="005B3EE7">
              <w:rPr>
                <w:rFonts w:ascii="Cambria" w:hAnsi="Cambria"/>
              </w:rPr>
              <w:t xml:space="preserve">yapılmasını sağlamak ve </w:t>
            </w:r>
            <w:r w:rsidRPr="004D298F">
              <w:rPr>
                <w:rFonts w:ascii="Cambria" w:hAnsi="Cambria"/>
              </w:rPr>
              <w:t>ödeneklerin etkili, ekono</w:t>
            </w:r>
            <w:r>
              <w:rPr>
                <w:rFonts w:ascii="Cambria" w:hAnsi="Cambria"/>
              </w:rPr>
              <w:t>mik ve verimli kullanılmasını sağlamak,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 yerleşkesinde gerekli güvenlik tedbirlerinin alınmasını sağlar.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Fakülteyi üst düzeyde temsil eder.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Her öğretim yılı sonunda Fakültenin genel durumunun işleyişi hakkında Rektöre rapor verir.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lastRenderedPageBreak/>
              <w:t>Görev ve sorumluluk alanındaki faaliyetlerin mevcut iç kontrol sisteminin tanım ve talimatlarına uygun olarak yürütülmesini sağlamak.</w:t>
            </w:r>
          </w:p>
          <w:p w:rsidR="00D61027" w:rsidRP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Tasarruf ilkelerine uygun hareket eder.</w:t>
            </w:r>
          </w:p>
          <w:p w:rsidR="00D61027" w:rsidRDefault="00D61027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D61027">
              <w:rPr>
                <w:rFonts w:ascii="Cambria" w:hAnsi="Cambria"/>
              </w:rPr>
              <w:t>Bağlı personelin işlerini daha verimli, etken ve daha kaliteli yapmalarını sağlayacak beceri ve deneyimi kazanmaları için sürekli gelişme ve iyileştirme fırsatlarını yakalayabilmelerine olanak tanımak.</w:t>
            </w:r>
          </w:p>
          <w:p w:rsidR="001C4FDA" w:rsidRPr="00D61027" w:rsidRDefault="001C4FDA" w:rsidP="00D61027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296894" w:rsidRDefault="00F145EE" w:rsidP="00754174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6068F4" w:rsidRDefault="008E478D" w:rsidP="00754174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="00803617" w:rsidRPr="0078170B">
              <w:rPr>
                <w:rFonts w:ascii="Cambria" w:hAnsi="Cambria"/>
                <w:bCs/>
              </w:rPr>
              <w:t>, yukarıda</w:t>
            </w:r>
            <w:r w:rsidR="00803617" w:rsidRPr="0078170B">
              <w:rPr>
                <w:rFonts w:ascii="Cambria" w:hAnsi="Cambria"/>
              </w:rPr>
              <w:t xml:space="preserve"> yazılı olan bütün bu görevleri kanunlara ve yönetmeliklere uygun olarak yerine getirirken </w:t>
            </w:r>
            <w:r>
              <w:rPr>
                <w:rFonts w:ascii="Cambria" w:hAnsi="Cambria"/>
              </w:rPr>
              <w:t>Rektöre</w:t>
            </w:r>
            <w:r w:rsidR="00803617" w:rsidRPr="0078170B">
              <w:rPr>
                <w:rFonts w:ascii="Cambria" w:hAnsi="Cambria"/>
              </w:rPr>
              <w:t xml:space="preserve"> karşı sorumludur. </w:t>
            </w:r>
          </w:p>
          <w:p w:rsidR="00754174" w:rsidRPr="002C05F1" w:rsidRDefault="00754174" w:rsidP="00AC58EE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D83CD5" w:rsidRDefault="00D83CD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43" w:rsidRDefault="00AB4F43" w:rsidP="00534F7F">
      <w:r>
        <w:separator/>
      </w:r>
    </w:p>
  </w:endnote>
  <w:endnote w:type="continuationSeparator" w:id="0">
    <w:p w:rsidR="00AB4F43" w:rsidRDefault="00AB4F43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E6" w:rsidRDefault="005051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F7BB8" w:rsidRPr="0081560B" w:rsidTr="004023B0">
      <w:trPr>
        <w:trHeight w:val="559"/>
      </w:trPr>
      <w:tc>
        <w:tcPr>
          <w:tcW w:w="666" w:type="dxa"/>
        </w:tcPr>
        <w:p w:rsidR="00CF7BB8" w:rsidRPr="00C4163E" w:rsidRDefault="00CF7BB8" w:rsidP="00CF7BB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CF7BB8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CF7BB8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CF7BB8" w:rsidRPr="00171789" w:rsidRDefault="00CF7BB8" w:rsidP="00CF7BB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CF7BB8" w:rsidRPr="00171789" w:rsidRDefault="00CF7BB8" w:rsidP="00CF7BB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F7BB8" w:rsidRPr="0081560B" w:rsidRDefault="00CF7BB8" w:rsidP="00CF7BB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CF7BB8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CF7BB8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CF7BB8" w:rsidRPr="0081560B" w:rsidRDefault="00CF7BB8" w:rsidP="00CF7BB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051E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051E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E6" w:rsidRDefault="005051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43" w:rsidRDefault="00AB4F43" w:rsidP="00534F7F">
      <w:r>
        <w:separator/>
      </w:r>
    </w:p>
  </w:footnote>
  <w:footnote w:type="continuationSeparator" w:id="0">
    <w:p w:rsidR="00AB4F43" w:rsidRDefault="00AB4F43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E6" w:rsidRDefault="005051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58387A" w:rsidP="00534F7F">
          <w:pPr>
            <w:pStyle w:val="stBilgi"/>
            <w:ind w:left="-115" w:right="-110"/>
          </w:pPr>
          <w:r>
            <w:rPr>
              <w:noProof/>
              <w:color w:val="0000FF"/>
            </w:rPr>
            <w:drawing>
              <wp:inline distT="0" distB="0" distL="0" distR="0" wp14:anchorId="739C1884" wp14:editId="4665790A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 w:rsidR="00CF7BB8">
            <w:rPr>
              <w:rFonts w:ascii="Cambria" w:hAnsi="Cambria"/>
              <w:b/>
              <w:color w:val="002060"/>
            </w:rPr>
            <w:t>TANIMI</w:t>
          </w:r>
          <w:r w:rsidR="0058387A">
            <w:rPr>
              <w:rFonts w:ascii="Arial" w:hAnsi="Arial" w:cs="Arial"/>
              <w:noProof/>
              <w:color w:val="337AB7"/>
              <w:sz w:val="19"/>
              <w:szCs w:val="19"/>
            </w:rPr>
            <w:drawing>
              <wp:inline distT="0" distB="0" distL="0" distR="0" wp14:anchorId="78AE25EC" wp14:editId="4BF1BD7A">
                <wp:extent cx="4191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5051E6" w:rsidP="003373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GRT-0001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58387A" w:rsidP="0058387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920A78">
            <w:rPr>
              <w:rFonts w:ascii="Cambria" w:hAnsi="Cambria"/>
              <w:color w:val="002060"/>
              <w:sz w:val="16"/>
              <w:szCs w:val="16"/>
            </w:rPr>
            <w:t>8.</w:t>
          </w:r>
          <w:r>
            <w:rPr>
              <w:rFonts w:ascii="Cambria" w:hAnsi="Cambria"/>
              <w:color w:val="002060"/>
              <w:sz w:val="16"/>
              <w:szCs w:val="16"/>
            </w:rPr>
            <w:t>10</w:t>
          </w:r>
          <w:r w:rsidR="00920A78">
            <w:rPr>
              <w:rFonts w:ascii="Cambria" w:hAnsi="Cambria"/>
              <w:color w:val="002060"/>
              <w:sz w:val="16"/>
              <w:szCs w:val="16"/>
            </w:rPr>
            <w:t>.2019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E6" w:rsidRDefault="005051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3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33FAA"/>
    <w:rsid w:val="00061C19"/>
    <w:rsid w:val="000C04CC"/>
    <w:rsid w:val="000D2E7B"/>
    <w:rsid w:val="000D5599"/>
    <w:rsid w:val="00104233"/>
    <w:rsid w:val="0012131F"/>
    <w:rsid w:val="0013037B"/>
    <w:rsid w:val="00146827"/>
    <w:rsid w:val="001469F3"/>
    <w:rsid w:val="00150110"/>
    <w:rsid w:val="00163C7F"/>
    <w:rsid w:val="00164950"/>
    <w:rsid w:val="0016547C"/>
    <w:rsid w:val="00167ACC"/>
    <w:rsid w:val="00172ADA"/>
    <w:rsid w:val="001842CA"/>
    <w:rsid w:val="00197CE6"/>
    <w:rsid w:val="001C153C"/>
    <w:rsid w:val="001C1597"/>
    <w:rsid w:val="001C2C4E"/>
    <w:rsid w:val="001C385C"/>
    <w:rsid w:val="001C4FDA"/>
    <w:rsid w:val="001D281B"/>
    <w:rsid w:val="001D371E"/>
    <w:rsid w:val="001E4576"/>
    <w:rsid w:val="001F457B"/>
    <w:rsid w:val="001F6791"/>
    <w:rsid w:val="00207A80"/>
    <w:rsid w:val="00222A0D"/>
    <w:rsid w:val="00227981"/>
    <w:rsid w:val="0023302F"/>
    <w:rsid w:val="00236E1E"/>
    <w:rsid w:val="0026786F"/>
    <w:rsid w:val="0027292B"/>
    <w:rsid w:val="00274CBA"/>
    <w:rsid w:val="0029374A"/>
    <w:rsid w:val="00296852"/>
    <w:rsid w:val="00296894"/>
    <w:rsid w:val="002B2944"/>
    <w:rsid w:val="002B3AA0"/>
    <w:rsid w:val="002B4786"/>
    <w:rsid w:val="002C05F1"/>
    <w:rsid w:val="002C0A2B"/>
    <w:rsid w:val="002E7330"/>
    <w:rsid w:val="00304EAB"/>
    <w:rsid w:val="0032238E"/>
    <w:rsid w:val="003230A8"/>
    <w:rsid w:val="003303FE"/>
    <w:rsid w:val="0033736D"/>
    <w:rsid w:val="00341062"/>
    <w:rsid w:val="00341403"/>
    <w:rsid w:val="00354FC0"/>
    <w:rsid w:val="0035773C"/>
    <w:rsid w:val="003617EF"/>
    <w:rsid w:val="00393BCE"/>
    <w:rsid w:val="003A1F30"/>
    <w:rsid w:val="003A709C"/>
    <w:rsid w:val="003B0439"/>
    <w:rsid w:val="003C2817"/>
    <w:rsid w:val="00400B04"/>
    <w:rsid w:val="004023B0"/>
    <w:rsid w:val="00406E87"/>
    <w:rsid w:val="00441FEB"/>
    <w:rsid w:val="0044324F"/>
    <w:rsid w:val="00465E9A"/>
    <w:rsid w:val="004730F6"/>
    <w:rsid w:val="004A1877"/>
    <w:rsid w:val="004A4CDC"/>
    <w:rsid w:val="004D0318"/>
    <w:rsid w:val="004D298F"/>
    <w:rsid w:val="004D6EB8"/>
    <w:rsid w:val="004E73C3"/>
    <w:rsid w:val="004F27F3"/>
    <w:rsid w:val="005051E6"/>
    <w:rsid w:val="005332AB"/>
    <w:rsid w:val="00534F7F"/>
    <w:rsid w:val="00537423"/>
    <w:rsid w:val="00544A37"/>
    <w:rsid w:val="00551B24"/>
    <w:rsid w:val="005560B7"/>
    <w:rsid w:val="0055738B"/>
    <w:rsid w:val="005641FD"/>
    <w:rsid w:val="00565BFA"/>
    <w:rsid w:val="0058387A"/>
    <w:rsid w:val="00586A9C"/>
    <w:rsid w:val="005B03FF"/>
    <w:rsid w:val="005B3B02"/>
    <w:rsid w:val="005B3EE7"/>
    <w:rsid w:val="005B5AD0"/>
    <w:rsid w:val="005B6D4E"/>
    <w:rsid w:val="005D4727"/>
    <w:rsid w:val="006040B2"/>
    <w:rsid w:val="006068F4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6255F"/>
    <w:rsid w:val="00682605"/>
    <w:rsid w:val="00682A32"/>
    <w:rsid w:val="006C40E1"/>
    <w:rsid w:val="006C7D11"/>
    <w:rsid w:val="006D3B1F"/>
    <w:rsid w:val="006E6192"/>
    <w:rsid w:val="0070372C"/>
    <w:rsid w:val="00706420"/>
    <w:rsid w:val="00711425"/>
    <w:rsid w:val="00714096"/>
    <w:rsid w:val="00715C4E"/>
    <w:rsid w:val="007170A5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9374A"/>
    <w:rsid w:val="00795446"/>
    <w:rsid w:val="007A7DBB"/>
    <w:rsid w:val="007B0CFD"/>
    <w:rsid w:val="007D1C4E"/>
    <w:rsid w:val="007D4382"/>
    <w:rsid w:val="007D55FA"/>
    <w:rsid w:val="007E210F"/>
    <w:rsid w:val="00803617"/>
    <w:rsid w:val="00810A48"/>
    <w:rsid w:val="00830A95"/>
    <w:rsid w:val="00840467"/>
    <w:rsid w:val="00853CB0"/>
    <w:rsid w:val="0086003A"/>
    <w:rsid w:val="008853A8"/>
    <w:rsid w:val="008C4974"/>
    <w:rsid w:val="008C6E2F"/>
    <w:rsid w:val="008D371C"/>
    <w:rsid w:val="008D57AB"/>
    <w:rsid w:val="008E478D"/>
    <w:rsid w:val="008E591A"/>
    <w:rsid w:val="008E7722"/>
    <w:rsid w:val="009060C1"/>
    <w:rsid w:val="009163FF"/>
    <w:rsid w:val="00920A78"/>
    <w:rsid w:val="0093327A"/>
    <w:rsid w:val="0094289F"/>
    <w:rsid w:val="00947419"/>
    <w:rsid w:val="00952BC7"/>
    <w:rsid w:val="00966126"/>
    <w:rsid w:val="0096625E"/>
    <w:rsid w:val="00966A44"/>
    <w:rsid w:val="009A4567"/>
    <w:rsid w:val="009B6181"/>
    <w:rsid w:val="009C1368"/>
    <w:rsid w:val="009E07BF"/>
    <w:rsid w:val="00A125A4"/>
    <w:rsid w:val="00A17E50"/>
    <w:rsid w:val="00A22546"/>
    <w:rsid w:val="00A22889"/>
    <w:rsid w:val="00A23674"/>
    <w:rsid w:val="00A354CE"/>
    <w:rsid w:val="00A4209C"/>
    <w:rsid w:val="00A45E0C"/>
    <w:rsid w:val="00A54008"/>
    <w:rsid w:val="00A70028"/>
    <w:rsid w:val="00A75555"/>
    <w:rsid w:val="00A83390"/>
    <w:rsid w:val="00A97B30"/>
    <w:rsid w:val="00AA5BEE"/>
    <w:rsid w:val="00AB4D74"/>
    <w:rsid w:val="00AB4F43"/>
    <w:rsid w:val="00AC54F8"/>
    <w:rsid w:val="00AC58EE"/>
    <w:rsid w:val="00AE4216"/>
    <w:rsid w:val="00B06EC8"/>
    <w:rsid w:val="00B23E4A"/>
    <w:rsid w:val="00B35F09"/>
    <w:rsid w:val="00B62989"/>
    <w:rsid w:val="00B6421D"/>
    <w:rsid w:val="00B81B21"/>
    <w:rsid w:val="00B834F2"/>
    <w:rsid w:val="00B912E6"/>
    <w:rsid w:val="00B936DF"/>
    <w:rsid w:val="00B94075"/>
    <w:rsid w:val="00BB1E65"/>
    <w:rsid w:val="00BB3754"/>
    <w:rsid w:val="00BB7297"/>
    <w:rsid w:val="00BC7571"/>
    <w:rsid w:val="00BC7F23"/>
    <w:rsid w:val="00BF54D2"/>
    <w:rsid w:val="00C04787"/>
    <w:rsid w:val="00C0555C"/>
    <w:rsid w:val="00C305C2"/>
    <w:rsid w:val="00C32325"/>
    <w:rsid w:val="00C34C44"/>
    <w:rsid w:val="00C35406"/>
    <w:rsid w:val="00C47689"/>
    <w:rsid w:val="00C53C77"/>
    <w:rsid w:val="00CB6A3F"/>
    <w:rsid w:val="00CC0C34"/>
    <w:rsid w:val="00CD1909"/>
    <w:rsid w:val="00CF7BB8"/>
    <w:rsid w:val="00D1112B"/>
    <w:rsid w:val="00D23714"/>
    <w:rsid w:val="00D3465A"/>
    <w:rsid w:val="00D34F0E"/>
    <w:rsid w:val="00D35A4A"/>
    <w:rsid w:val="00D61027"/>
    <w:rsid w:val="00D65310"/>
    <w:rsid w:val="00D675A4"/>
    <w:rsid w:val="00D83CD5"/>
    <w:rsid w:val="00DB2E18"/>
    <w:rsid w:val="00DD12B3"/>
    <w:rsid w:val="00DD308E"/>
    <w:rsid w:val="00DD3517"/>
    <w:rsid w:val="00DD51A4"/>
    <w:rsid w:val="00DE498A"/>
    <w:rsid w:val="00DE7DA1"/>
    <w:rsid w:val="00E03E32"/>
    <w:rsid w:val="00E10203"/>
    <w:rsid w:val="00E10785"/>
    <w:rsid w:val="00E13F11"/>
    <w:rsid w:val="00E31664"/>
    <w:rsid w:val="00E3436C"/>
    <w:rsid w:val="00E35C41"/>
    <w:rsid w:val="00E36113"/>
    <w:rsid w:val="00E44F51"/>
    <w:rsid w:val="00E522EB"/>
    <w:rsid w:val="00E57AA7"/>
    <w:rsid w:val="00E87FEE"/>
    <w:rsid w:val="00E901D8"/>
    <w:rsid w:val="00E90DFF"/>
    <w:rsid w:val="00EA2676"/>
    <w:rsid w:val="00EA5366"/>
    <w:rsid w:val="00EA6040"/>
    <w:rsid w:val="00EB6D6B"/>
    <w:rsid w:val="00EC0A1D"/>
    <w:rsid w:val="00ED61D4"/>
    <w:rsid w:val="00EE2587"/>
    <w:rsid w:val="00EE3346"/>
    <w:rsid w:val="00EE7553"/>
    <w:rsid w:val="00F06511"/>
    <w:rsid w:val="00F07134"/>
    <w:rsid w:val="00F12E2C"/>
    <w:rsid w:val="00F139D6"/>
    <w:rsid w:val="00F145EE"/>
    <w:rsid w:val="00F220E4"/>
    <w:rsid w:val="00F33BC5"/>
    <w:rsid w:val="00F442B7"/>
    <w:rsid w:val="00F44CB3"/>
    <w:rsid w:val="00F544B4"/>
    <w:rsid w:val="00F614C3"/>
    <w:rsid w:val="00F670B9"/>
    <w:rsid w:val="00FA6D95"/>
    <w:rsid w:val="00FB69AA"/>
    <w:rsid w:val="00FC06A9"/>
    <w:rsid w:val="00FC3E69"/>
    <w:rsid w:val="00FD6A9C"/>
    <w:rsid w:val="00FD6F3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8F72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5</cp:revision>
  <dcterms:created xsi:type="dcterms:W3CDTF">2019-10-08T10:30:00Z</dcterms:created>
  <dcterms:modified xsi:type="dcterms:W3CDTF">2019-10-28T06:38:00Z</dcterms:modified>
</cp:coreProperties>
</file>