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4A47" w14:textId="01A4667D" w:rsidR="00AD3952" w:rsidRDefault="00E707BD" w:rsidP="00971D15">
      <w:pPr>
        <w:spacing w:after="0" w:line="30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Hukuk Müşavirliği Birim Kalite Komitesi, Hukuk Müşaviri Av. Özlem ACAR ÖZGÜN başkanlığında, </w:t>
      </w:r>
      <w:r w:rsidR="006C43B8">
        <w:rPr>
          <w:rFonts w:ascii="Times New Roman" w:hAnsi="Times New Roman" w:cs="Times New Roman"/>
        </w:rPr>
        <w:t xml:space="preserve">üyeler Abdullah ARVAS ve Gökhan </w:t>
      </w:r>
      <w:proofErr w:type="spellStart"/>
      <w:r w:rsidR="006C43B8">
        <w:rPr>
          <w:rFonts w:ascii="Times New Roman" w:hAnsi="Times New Roman" w:cs="Times New Roman"/>
        </w:rPr>
        <w:t>KARAN’ın</w:t>
      </w:r>
      <w:proofErr w:type="spellEnd"/>
      <w:r w:rsidR="006C43B8">
        <w:rPr>
          <w:rFonts w:ascii="Times New Roman" w:hAnsi="Times New Roman" w:cs="Times New Roman"/>
        </w:rPr>
        <w:t xml:space="preserve"> katılımıyla</w:t>
      </w:r>
      <w:r>
        <w:rPr>
          <w:rFonts w:ascii="Times New Roman" w:hAnsi="Times New Roman" w:cs="Times New Roman"/>
        </w:rPr>
        <w:t xml:space="preserve"> toplanmıştır.</w:t>
      </w:r>
    </w:p>
    <w:p w14:paraId="13553876" w14:textId="4763BD7D" w:rsidR="00E707BD" w:rsidRDefault="00E707BD" w:rsidP="00971D15">
      <w:pPr>
        <w:spacing w:after="0" w:line="30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707BD" w14:paraId="4CC19FDA" w14:textId="77777777" w:rsidTr="008817F8">
        <w:trPr>
          <w:trHeight w:val="217"/>
        </w:trPr>
        <w:tc>
          <w:tcPr>
            <w:tcW w:w="9062" w:type="dxa"/>
            <w:gridSpan w:val="2"/>
          </w:tcPr>
          <w:p w14:paraId="67769F14" w14:textId="12C1B880" w:rsidR="00E707BD" w:rsidRPr="00F80A89" w:rsidRDefault="00D0149C" w:rsidP="00971D1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E707BD"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>GÜNDEMLER</w:t>
            </w:r>
          </w:p>
        </w:tc>
      </w:tr>
      <w:tr w:rsidR="00E707BD" w14:paraId="2B130A44" w14:textId="77777777" w:rsidTr="00E707BD">
        <w:tc>
          <w:tcPr>
            <w:tcW w:w="1413" w:type="dxa"/>
          </w:tcPr>
          <w:p w14:paraId="3B1E4304" w14:textId="0B1C1D6F" w:rsidR="00E707BD" w:rsidRPr="00F80A89" w:rsidRDefault="00E707BD" w:rsidP="00971D1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649" w:type="dxa"/>
          </w:tcPr>
          <w:p w14:paraId="12FDBB9C" w14:textId="0510BB8D" w:rsidR="00E707BD" w:rsidRPr="00F80A89" w:rsidRDefault="00E707BD" w:rsidP="00971D1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>GÜNDEM</w:t>
            </w:r>
          </w:p>
        </w:tc>
      </w:tr>
      <w:tr w:rsidR="00694489" w14:paraId="19CCB505" w14:textId="77777777" w:rsidTr="00E707BD">
        <w:tc>
          <w:tcPr>
            <w:tcW w:w="1413" w:type="dxa"/>
          </w:tcPr>
          <w:p w14:paraId="35D63E19" w14:textId="0E1E40AB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9" w:type="dxa"/>
          </w:tcPr>
          <w:p w14:paraId="77191F25" w14:textId="4B25942F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süreçlerine ilişkin Müşavirliğimiz personeline gerekli bilgilendirmelerin yapılması.</w:t>
            </w:r>
          </w:p>
        </w:tc>
      </w:tr>
      <w:tr w:rsidR="00E707BD" w14:paraId="21A5BE9B" w14:textId="77777777" w:rsidTr="00E707BD">
        <w:tc>
          <w:tcPr>
            <w:tcW w:w="1413" w:type="dxa"/>
          </w:tcPr>
          <w:p w14:paraId="147DAE32" w14:textId="54D215B3" w:rsidR="00E707BD" w:rsidRPr="00E03002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9" w:type="dxa"/>
          </w:tcPr>
          <w:p w14:paraId="34905F53" w14:textId="2996547C" w:rsidR="00E707BD" w:rsidRPr="00E03002" w:rsidRDefault="006C43B8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Müşavirliği, Arabuluculuk Komisyonu, Bilimsel Araştırmalar ve Yayın Etiği Kurulu web sitelerinin güncelliği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nin değerlendirilmesi.</w:t>
            </w:r>
          </w:p>
        </w:tc>
      </w:tr>
      <w:tr w:rsidR="00E03002" w14:paraId="02DAA3F7" w14:textId="77777777" w:rsidTr="00E707BD">
        <w:tc>
          <w:tcPr>
            <w:tcW w:w="1413" w:type="dxa"/>
          </w:tcPr>
          <w:p w14:paraId="1BD672B0" w14:textId="3AF1BF8B" w:rsidR="00E03002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9" w:type="dxa"/>
          </w:tcPr>
          <w:p w14:paraId="0CFA8C07" w14:textId="1F4D26F1" w:rsidR="00E03002" w:rsidRDefault="006C43B8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Müşavirlik kayıtları incelenerek derdest olan adli dava, idari dava ve icra dosyalarının</w:t>
            </w:r>
            <w:r w:rsidR="0001310C">
              <w:rPr>
                <w:rFonts w:ascii="Times New Roman" w:hAnsi="Times New Roman" w:cs="Times New Roman"/>
              </w:rPr>
              <w:t xml:space="preserve"> akıbetinin değerlendirilmesi ile</w:t>
            </w:r>
            <w:r w:rsidR="00095413">
              <w:rPr>
                <w:rFonts w:ascii="Times New Roman" w:hAnsi="Times New Roman" w:cs="Times New Roman"/>
              </w:rPr>
              <w:t xml:space="preserve"> istatistiksel analizinin yapılması.</w:t>
            </w:r>
          </w:p>
        </w:tc>
      </w:tr>
      <w:tr w:rsidR="00694489" w14:paraId="7A8EF404" w14:textId="77777777" w:rsidTr="00E707BD">
        <w:tc>
          <w:tcPr>
            <w:tcW w:w="1413" w:type="dxa"/>
          </w:tcPr>
          <w:p w14:paraId="7DBBE17E" w14:textId="384F69AD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9" w:type="dxa"/>
          </w:tcPr>
          <w:p w14:paraId="2BC68953" w14:textId="77A2C4F8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ve 2025 yıllarına ait derdest dosyaların akıbetinin değerlendirilmesi.</w:t>
            </w:r>
          </w:p>
        </w:tc>
      </w:tr>
      <w:tr w:rsidR="00694489" w14:paraId="45A1BC35" w14:textId="77777777" w:rsidTr="00E707BD">
        <w:tc>
          <w:tcPr>
            <w:tcW w:w="1413" w:type="dxa"/>
          </w:tcPr>
          <w:p w14:paraId="631460DD" w14:textId="643DF61D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9" w:type="dxa"/>
          </w:tcPr>
          <w:p w14:paraId="1FD4E6AA" w14:textId="7ED918C8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Üniversitemize ödeme yükümlülüğü getiren dosyaların analizinin yapılması.</w:t>
            </w:r>
          </w:p>
        </w:tc>
      </w:tr>
      <w:tr w:rsidR="00095413" w14:paraId="7DEEA686" w14:textId="77777777" w:rsidTr="00E707BD">
        <w:tc>
          <w:tcPr>
            <w:tcW w:w="1413" w:type="dxa"/>
          </w:tcPr>
          <w:p w14:paraId="474FD088" w14:textId="59550063" w:rsidR="00095413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9" w:type="dxa"/>
          </w:tcPr>
          <w:p w14:paraId="5BFFC327" w14:textId="734D2463" w:rsidR="00095413" w:rsidRDefault="00DC63C6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Personelin eğitim faaliyetlerini sürdürmelerinin sağlanması.</w:t>
            </w:r>
          </w:p>
        </w:tc>
      </w:tr>
      <w:tr w:rsidR="00694489" w14:paraId="3C622A0F" w14:textId="77777777" w:rsidTr="00E707BD">
        <w:tc>
          <w:tcPr>
            <w:tcW w:w="1413" w:type="dxa"/>
          </w:tcPr>
          <w:p w14:paraId="6E634CA5" w14:textId="15188CDA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9" w:type="dxa"/>
          </w:tcPr>
          <w:p w14:paraId="72803AF1" w14:textId="58EC377F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 gündem maddesi önerilerinin değerlendirilmesi.</w:t>
            </w:r>
          </w:p>
        </w:tc>
      </w:tr>
    </w:tbl>
    <w:p w14:paraId="58694E35" w14:textId="3FB06B33" w:rsidR="00E707BD" w:rsidRDefault="00E707BD" w:rsidP="00971D15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E0D69F4" w14:textId="13A69B19" w:rsidR="00E03002" w:rsidRDefault="00E03002" w:rsidP="00971D15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03002" w14:paraId="70348922" w14:textId="77777777" w:rsidTr="000437EC">
        <w:tc>
          <w:tcPr>
            <w:tcW w:w="9062" w:type="dxa"/>
            <w:gridSpan w:val="2"/>
          </w:tcPr>
          <w:p w14:paraId="7E286EEE" w14:textId="479B7A42" w:rsidR="00E03002" w:rsidRPr="00F80A89" w:rsidRDefault="00D0149C" w:rsidP="00971D1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03002"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>KARARLAR</w:t>
            </w:r>
          </w:p>
        </w:tc>
      </w:tr>
      <w:tr w:rsidR="00E03002" w14:paraId="6B861903" w14:textId="77777777" w:rsidTr="00E03002">
        <w:tc>
          <w:tcPr>
            <w:tcW w:w="1413" w:type="dxa"/>
          </w:tcPr>
          <w:p w14:paraId="2A7DD41D" w14:textId="41597053" w:rsidR="00E03002" w:rsidRPr="00F80A89" w:rsidRDefault="00E03002" w:rsidP="00971D1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649" w:type="dxa"/>
          </w:tcPr>
          <w:p w14:paraId="383F32A1" w14:textId="00318C9C" w:rsidR="00E03002" w:rsidRPr="00F80A89" w:rsidRDefault="00E03002" w:rsidP="00971D1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>KARAR</w:t>
            </w:r>
          </w:p>
        </w:tc>
      </w:tr>
      <w:tr w:rsidR="00E03002" w14:paraId="2B69227F" w14:textId="77777777" w:rsidTr="00E03002">
        <w:tc>
          <w:tcPr>
            <w:tcW w:w="1413" w:type="dxa"/>
          </w:tcPr>
          <w:p w14:paraId="127A6FB8" w14:textId="7DCB6483" w:rsidR="00E03002" w:rsidRPr="00E03002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9" w:type="dxa"/>
          </w:tcPr>
          <w:p w14:paraId="7E1CA169" w14:textId="001042AF" w:rsidR="00E03002" w:rsidRPr="00E03002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Müşavirliğimiz personeline Yükseköğretim Kalite Kurulu (YÖKAK) ve Üniversitemiz Kalite Komisyonu hakkında temel bilgilendirmelerin yapılması</w:t>
            </w:r>
            <w:r w:rsidR="00971D15">
              <w:rPr>
                <w:rFonts w:ascii="Times New Roman" w:hAnsi="Times New Roman" w:cs="Times New Roman"/>
              </w:rPr>
              <w:t>na karar verilmiştir.</w:t>
            </w:r>
          </w:p>
        </w:tc>
      </w:tr>
      <w:tr w:rsidR="00694489" w14:paraId="64DB3152" w14:textId="77777777" w:rsidTr="00E03002">
        <w:tc>
          <w:tcPr>
            <w:tcW w:w="1413" w:type="dxa"/>
          </w:tcPr>
          <w:p w14:paraId="2EEB57B5" w14:textId="6FF7CB4A" w:rsidR="00694489" w:rsidRPr="00E03002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9" w:type="dxa"/>
          </w:tcPr>
          <w:p w14:paraId="159088C2" w14:textId="6796F4D7" w:rsidR="00694489" w:rsidRPr="00E03002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Sorumluları ile görüşülerek ilgili web sitelerinin güncel tutulmasına özen gösterilmesine, web sitelerin güncelliğinin denetlenmesine karar verilmiştir.</w:t>
            </w:r>
          </w:p>
        </w:tc>
      </w:tr>
      <w:tr w:rsidR="00694489" w14:paraId="4A2E91F9" w14:textId="77777777" w:rsidTr="00E03002">
        <w:tc>
          <w:tcPr>
            <w:tcW w:w="1413" w:type="dxa"/>
          </w:tcPr>
          <w:p w14:paraId="0472DB92" w14:textId="53073A00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9" w:type="dxa"/>
          </w:tcPr>
          <w:p w14:paraId="455E3546" w14:textId="7FC84AAF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Müşavirliğimizde derdest olan dosyaların istatistiksel verileri incelenerek, bu veriler ışığında izlenecek yol haritası belirlenmek üzere avukatlar ve ilgili </w:t>
            </w:r>
            <w:proofErr w:type="spellStart"/>
            <w:r>
              <w:rPr>
                <w:rFonts w:ascii="Times New Roman" w:hAnsi="Times New Roman" w:cs="Times New Roman"/>
              </w:rPr>
              <w:t>icrai</w:t>
            </w:r>
            <w:proofErr w:type="spellEnd"/>
            <w:r>
              <w:rPr>
                <w:rFonts w:ascii="Times New Roman" w:hAnsi="Times New Roman" w:cs="Times New Roman"/>
              </w:rPr>
              <w:t xml:space="preserve"> birimler ile görüşmeler yapılmasına karar verilmiştir.</w:t>
            </w:r>
          </w:p>
        </w:tc>
      </w:tr>
      <w:tr w:rsidR="00694489" w14:paraId="72F00EA1" w14:textId="77777777" w:rsidTr="00E03002">
        <w:tc>
          <w:tcPr>
            <w:tcW w:w="1413" w:type="dxa"/>
          </w:tcPr>
          <w:p w14:paraId="57E0CBFD" w14:textId="254FB47A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9" w:type="dxa"/>
          </w:tcPr>
          <w:p w14:paraId="65FE96E7" w14:textId="55587D16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ve 2025 yıllarına ait derdest dosyaların verileri toplanarak, dosyaların güncel durumları hakkında bilgi alışverişi yapılmıştır.</w:t>
            </w:r>
          </w:p>
        </w:tc>
      </w:tr>
      <w:tr w:rsidR="00694489" w14:paraId="2356C0FE" w14:textId="77777777" w:rsidTr="00E03002">
        <w:tc>
          <w:tcPr>
            <w:tcW w:w="1413" w:type="dxa"/>
          </w:tcPr>
          <w:p w14:paraId="7AC05B85" w14:textId="7A646BEE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9" w:type="dxa"/>
          </w:tcPr>
          <w:p w14:paraId="4084023D" w14:textId="456E0BFB" w:rsidR="00694489" w:rsidRDefault="00971D15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Üniversitemiz aleyhine sonuçlanarak Üniversitemize ödeme yükümlülüğü getiren dosyaların verileri incelenmiş olup </w:t>
            </w:r>
            <w:r>
              <w:rPr>
                <w:rFonts w:ascii="Times New Roman" w:hAnsi="Times New Roman" w:cs="Times New Roman"/>
              </w:rPr>
              <w:t>bu veriler ışığında</w:t>
            </w:r>
            <w:r>
              <w:rPr>
                <w:rFonts w:ascii="Times New Roman" w:hAnsi="Times New Roman" w:cs="Times New Roman"/>
              </w:rPr>
              <w:t>, Üniversitemize ödeme yükümlülüğü getirebilecek olan derdest dosyalar hakkında</w:t>
            </w:r>
            <w:r>
              <w:rPr>
                <w:rFonts w:ascii="Times New Roman" w:hAnsi="Times New Roman" w:cs="Times New Roman"/>
              </w:rPr>
              <w:t xml:space="preserve"> izlenecek yol haritası belirlenmek üzere avukatlar ve ilgili </w:t>
            </w:r>
            <w:proofErr w:type="spellStart"/>
            <w:r>
              <w:rPr>
                <w:rFonts w:ascii="Times New Roman" w:hAnsi="Times New Roman" w:cs="Times New Roman"/>
              </w:rPr>
              <w:t>icrai</w:t>
            </w:r>
            <w:proofErr w:type="spellEnd"/>
            <w:r>
              <w:rPr>
                <w:rFonts w:ascii="Times New Roman" w:hAnsi="Times New Roman" w:cs="Times New Roman"/>
              </w:rPr>
              <w:t xml:space="preserve"> birimler ile görüşmeler yapılmasına karar verilmiştir.</w:t>
            </w:r>
          </w:p>
        </w:tc>
      </w:tr>
      <w:tr w:rsidR="00694489" w14:paraId="0624A3AF" w14:textId="77777777" w:rsidTr="00E03002">
        <w:tc>
          <w:tcPr>
            <w:tcW w:w="1413" w:type="dxa"/>
          </w:tcPr>
          <w:p w14:paraId="1893782C" w14:textId="2CFCAC0F" w:rsidR="00694489" w:rsidRDefault="0069448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9" w:type="dxa"/>
          </w:tcPr>
          <w:p w14:paraId="6C760181" w14:textId="1A2AEDF3" w:rsidR="00694489" w:rsidRDefault="00971D15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Müşavirliğimiz personelinin meslek içi eğitimlere katılımının sağlanarak </w:t>
            </w:r>
            <w:r w:rsidR="00DC63C6">
              <w:rPr>
                <w:rFonts w:ascii="Times New Roman" w:hAnsi="Times New Roman" w:cs="Times New Roman"/>
              </w:rPr>
              <w:t>personelin mesleki ve sosyal açıdan gelişimine yönelik bütün eğitimlere katılımın teşvik edilmesine karar verilmiştir.</w:t>
            </w:r>
          </w:p>
        </w:tc>
      </w:tr>
      <w:tr w:rsidR="00DC63C6" w14:paraId="60DB408F" w14:textId="77777777" w:rsidTr="00E03002">
        <w:tc>
          <w:tcPr>
            <w:tcW w:w="1413" w:type="dxa"/>
          </w:tcPr>
          <w:p w14:paraId="0BEA20F4" w14:textId="5648A10A" w:rsidR="00DC63C6" w:rsidRDefault="00DC63C6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9" w:type="dxa"/>
          </w:tcPr>
          <w:p w14:paraId="2FFEE671" w14:textId="3B540151" w:rsidR="00DC63C6" w:rsidRDefault="00D65B29" w:rsidP="00971D15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 gündem maddesi önerisinde bulunulmamıştır.</w:t>
            </w:r>
          </w:p>
        </w:tc>
      </w:tr>
    </w:tbl>
    <w:p w14:paraId="7998BF75" w14:textId="16A0C5C1" w:rsidR="00E03002" w:rsidRDefault="00E03002" w:rsidP="00971D15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CF3589" w14:textId="184599FF" w:rsidR="00E03002" w:rsidRDefault="00E03002" w:rsidP="00971D15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E03002" w14:paraId="7C5507E7" w14:textId="77777777" w:rsidTr="00D0149C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5D395A96" w14:textId="0DBCD667" w:rsidR="00E03002" w:rsidRPr="00F80A89" w:rsidRDefault="00D0149C" w:rsidP="00971D1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E03002" w:rsidRPr="00F80A89">
              <w:rPr>
                <w:rFonts w:ascii="Times New Roman" w:hAnsi="Times New Roman" w:cs="Times New Roman"/>
                <w:b/>
                <w:sz w:val="24"/>
                <w:szCs w:val="24"/>
              </w:rPr>
              <w:t>TOPLANTIYA KATILANLAR</w:t>
            </w:r>
          </w:p>
        </w:tc>
      </w:tr>
      <w:tr w:rsidR="00D0149C" w14:paraId="5605EE87" w14:textId="77777777" w:rsidTr="00D0149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253970" w14:textId="77777777" w:rsidR="00D0149C" w:rsidRP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AF9DF" w14:textId="2A00BD86" w:rsid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  <w:p w14:paraId="79738B87" w14:textId="77777777" w:rsid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  <w:p w14:paraId="7A195BDF" w14:textId="06A64328" w:rsidR="00D0149C" w:rsidRP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E66037" w14:textId="77777777" w:rsidR="00D0149C" w:rsidRP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02" w14:paraId="3DE2C1BB" w14:textId="77777777" w:rsidTr="00D0149C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D19D5" w14:textId="77777777" w:rsidR="00E03002" w:rsidRPr="00D0149C" w:rsidRDefault="00E03002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1641AFF0" w14:textId="77777777" w:rsidR="00E03002" w:rsidRPr="00D0149C" w:rsidRDefault="00E03002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Av. Özlem ACAR ÖZGÜN</w:t>
            </w:r>
          </w:p>
          <w:p w14:paraId="2874F665" w14:textId="0861341C" w:rsidR="00E03002" w:rsidRPr="00D0149C" w:rsidRDefault="00E03002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D3764" w14:textId="77777777" w:rsidR="00E03002" w:rsidRPr="00D0149C" w:rsidRDefault="00E03002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02" w14:paraId="561C11CA" w14:textId="77777777" w:rsidTr="00D0149C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8BCC66" w14:textId="77777777" w:rsidR="00E03002" w:rsidRP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Abdullah ARVAS</w:t>
            </w:r>
          </w:p>
          <w:p w14:paraId="3F2F0AEF" w14:textId="47AAC6CE" w:rsidR="00D0149C" w:rsidRP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3512A" w14:textId="77777777" w:rsidR="00E03002" w:rsidRPr="00D0149C" w:rsidRDefault="00E03002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D5D0" w14:textId="1BC928BC" w:rsidR="00E03002" w:rsidRPr="00D0149C" w:rsidRDefault="006C43B8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Gökhan KARAN</w:t>
            </w:r>
          </w:p>
          <w:p w14:paraId="020D5FAD" w14:textId="1AFC7BB1" w:rsidR="00D0149C" w:rsidRPr="00D0149C" w:rsidRDefault="00D0149C" w:rsidP="00971D15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Üye</w:t>
            </w:r>
          </w:p>
        </w:tc>
      </w:tr>
    </w:tbl>
    <w:p w14:paraId="41317B37" w14:textId="77777777" w:rsidR="00E03002" w:rsidRPr="00E707BD" w:rsidRDefault="00E03002" w:rsidP="00971D15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03002" w:rsidRPr="00E707BD" w:rsidSect="00114487">
      <w:headerReference w:type="default" r:id="rId7"/>
      <w:footerReference w:type="default" r:id="rId8"/>
      <w:pgSz w:w="11906" w:h="16838"/>
      <w:pgMar w:top="1134" w:right="1417" w:bottom="426" w:left="141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A4D8" w14:textId="77777777" w:rsidR="00B56043" w:rsidRDefault="00B56043" w:rsidP="004A1560">
      <w:pPr>
        <w:spacing w:after="0" w:line="240" w:lineRule="auto"/>
      </w:pPr>
      <w:r>
        <w:separator/>
      </w:r>
    </w:p>
  </w:endnote>
  <w:endnote w:type="continuationSeparator" w:id="0">
    <w:p w14:paraId="001CCB81" w14:textId="77777777" w:rsidR="00B56043" w:rsidRDefault="00B56043" w:rsidP="004A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D263" w14:textId="77777777" w:rsidR="004A1560" w:rsidRDefault="004A1560">
    <w:pPr>
      <w:pStyle w:val="AltBilgi"/>
    </w:pPr>
  </w:p>
  <w:p w14:paraId="77320C15" w14:textId="77777777" w:rsidR="004A1560" w:rsidRDefault="004A1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54B4" w14:textId="77777777" w:rsidR="00B56043" w:rsidRDefault="00B56043" w:rsidP="004A1560">
      <w:pPr>
        <w:spacing w:after="0" w:line="240" w:lineRule="auto"/>
      </w:pPr>
      <w:r>
        <w:separator/>
      </w:r>
    </w:p>
  </w:footnote>
  <w:footnote w:type="continuationSeparator" w:id="0">
    <w:p w14:paraId="3333AEC9" w14:textId="77777777" w:rsidR="00B56043" w:rsidRDefault="00B56043" w:rsidP="004A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556"/>
      <w:tblW w:w="91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8"/>
      <w:gridCol w:w="2410"/>
      <w:gridCol w:w="1927"/>
      <w:gridCol w:w="2970"/>
    </w:tblGrid>
    <w:tr w:rsidR="00E707BD" w:rsidRPr="00B65008" w14:paraId="5FAFA573" w14:textId="77777777" w:rsidTr="00F80A89">
      <w:trPr>
        <w:trHeight w:val="983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E5874" w14:textId="01C24C51" w:rsidR="00E707BD" w:rsidRPr="00B65008" w:rsidRDefault="00E707BD" w:rsidP="00604228">
          <w:pPr>
            <w:jc w:val="center"/>
            <w:rPr>
              <w:rFonts w:ascii="Times New Roman" w:eastAsia="Calibri" w:hAnsi="Times New Roman" w:cs="Times New Roman"/>
              <w:b/>
            </w:rPr>
          </w:pPr>
          <w:r w:rsidRPr="00B65008">
            <w:rPr>
              <w:rFonts w:ascii="Times New Roman" w:eastAsia="Calibri" w:hAnsi="Times New Roman" w:cs="Times New Roman"/>
              <w:b/>
              <w:noProof/>
              <w:lang w:eastAsia="tr-TR"/>
            </w:rPr>
            <w:drawing>
              <wp:inline distT="0" distB="0" distL="0" distR="0" wp14:anchorId="15F66771" wp14:editId="28EB0D61">
                <wp:extent cx="866775" cy="86677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89F6DA" w14:textId="553B08D3" w:rsidR="00E707BD" w:rsidRDefault="00E707BD" w:rsidP="00D0149C">
          <w:pPr>
            <w:pStyle w:val="Style4"/>
            <w:widowControl/>
            <w:spacing w:before="10" w:line="288" w:lineRule="exact"/>
            <w:ind w:firstLine="0"/>
            <w:jc w:val="center"/>
            <w:rPr>
              <w:rFonts w:ascii="Times New Roman" w:hAnsi="Times New Roman" w:cs="Times New Roman"/>
              <w:b/>
              <w:iCs/>
              <w:color w:val="243F60"/>
            </w:rPr>
          </w:pPr>
          <w:r w:rsidRPr="00E707BD">
            <w:rPr>
              <w:rFonts w:ascii="Times New Roman" w:hAnsi="Times New Roman" w:cs="Times New Roman"/>
              <w:b/>
              <w:iCs/>
              <w:color w:val="243F60"/>
            </w:rPr>
            <w:t>HUKUK MÜŞAVİRLİĞİ</w:t>
          </w:r>
          <w:r w:rsidR="00D0149C">
            <w:rPr>
              <w:rFonts w:ascii="Times New Roman" w:hAnsi="Times New Roman" w:cs="Times New Roman"/>
              <w:b/>
              <w:iCs/>
              <w:color w:val="243F60"/>
            </w:rPr>
            <w:t xml:space="preserve"> </w:t>
          </w:r>
          <w:r>
            <w:rPr>
              <w:rFonts w:ascii="Times New Roman" w:hAnsi="Times New Roman" w:cs="Times New Roman"/>
              <w:b/>
              <w:iCs/>
              <w:color w:val="243F60"/>
            </w:rPr>
            <w:t xml:space="preserve">BİRİM </w:t>
          </w:r>
          <w:r w:rsidRPr="00E707BD">
            <w:rPr>
              <w:rFonts w:ascii="Times New Roman" w:hAnsi="Times New Roman" w:cs="Times New Roman"/>
              <w:b/>
              <w:iCs/>
              <w:color w:val="243F60"/>
            </w:rPr>
            <w:t>KALİTE KOMİTESİ</w:t>
          </w:r>
        </w:p>
        <w:p w14:paraId="32236F8E" w14:textId="2AE594CB" w:rsidR="00E707BD" w:rsidRPr="00E707BD" w:rsidRDefault="00E707BD" w:rsidP="00231FB7">
          <w:pPr>
            <w:pStyle w:val="Style4"/>
            <w:widowControl/>
            <w:spacing w:before="10" w:line="288" w:lineRule="exact"/>
            <w:ind w:firstLine="0"/>
            <w:jc w:val="center"/>
            <w:rPr>
              <w:rFonts w:ascii="Times New Roman" w:hAnsi="Times New Roman" w:cs="Times New Roman"/>
              <w:b/>
              <w:iCs/>
              <w:color w:val="243F60"/>
            </w:rPr>
          </w:pPr>
          <w:r w:rsidRPr="00E707BD">
            <w:rPr>
              <w:rFonts w:ascii="Times New Roman" w:hAnsi="Times New Roman" w:cs="Times New Roman"/>
              <w:b/>
              <w:iCs/>
              <w:color w:val="243F60"/>
            </w:rPr>
            <w:t>TOPLANTI TUTANAĞI</w:t>
          </w:r>
        </w:p>
      </w:tc>
    </w:tr>
    <w:tr w:rsidR="00D0149C" w:rsidRPr="00B65008" w14:paraId="018C1318" w14:textId="77777777" w:rsidTr="00F80A89">
      <w:trPr>
        <w:trHeight w:val="73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6B0C88" w14:textId="7F92A986" w:rsidR="00D0149C" w:rsidRPr="00604228" w:rsidRDefault="00D0149C" w:rsidP="00F80A89">
          <w:pPr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No: 2025/0</w:t>
          </w:r>
          <w:r w:rsidR="006C43B8">
            <w:rPr>
              <w:rFonts w:ascii="Times New Roman" w:eastAsia="Calibri" w:hAnsi="Times New Roman" w:cs="Times New Roman"/>
              <w:b/>
              <w:sz w:val="18"/>
              <w:szCs w:val="18"/>
            </w:rPr>
            <w:t>2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CCC2DA" w14:textId="673C0317" w:rsidR="00D0149C" w:rsidRPr="00604228" w:rsidRDefault="00D0149C" w:rsidP="00F80A89">
          <w:pPr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Tarihi</w:t>
          </w:r>
          <w:r w:rsidRPr="00604228">
            <w:rPr>
              <w:rFonts w:ascii="Times New Roman" w:eastAsia="Calibri" w:hAnsi="Times New Roman" w:cs="Times New Roman"/>
              <w:b/>
              <w:sz w:val="18"/>
              <w:szCs w:val="18"/>
            </w:rPr>
            <w:t>:</w:t>
          </w: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 1</w:t>
          </w:r>
          <w:r w:rsidR="006C43B8">
            <w:rPr>
              <w:rFonts w:ascii="Times New Roman" w:eastAsia="Calibri" w:hAnsi="Times New Roman" w:cs="Times New Roman"/>
              <w:b/>
              <w:sz w:val="18"/>
              <w:szCs w:val="18"/>
            </w:rPr>
            <w:t>9</w:t>
          </w: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/09/2025</w:t>
          </w:r>
        </w:p>
      </w:tc>
      <w:tc>
        <w:tcPr>
          <w:tcW w:w="1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C125E" w14:textId="382EC3FA" w:rsidR="00D0149C" w:rsidRPr="00604228" w:rsidRDefault="00D0149C" w:rsidP="00F80A89">
          <w:pPr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Saati: 10:00</w:t>
          </w:r>
        </w:p>
      </w:tc>
      <w:tc>
        <w:tcPr>
          <w:tcW w:w="2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96C94" w14:textId="5B5B0843" w:rsidR="00D0149C" w:rsidRPr="00D0149C" w:rsidRDefault="00D0149C" w:rsidP="00F80A89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D0149C"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Yeri: Hukuk Müşavirliği</w:t>
          </w:r>
        </w:p>
      </w:tc>
    </w:tr>
  </w:tbl>
  <w:p w14:paraId="75C5313E" w14:textId="77777777" w:rsidR="004A1560" w:rsidRDefault="004A1560" w:rsidP="004A1560">
    <w:pPr>
      <w:pStyle w:val="stBilgi"/>
    </w:pPr>
  </w:p>
  <w:p w14:paraId="28FF1A34" w14:textId="77777777" w:rsidR="00114487" w:rsidRPr="004A1560" w:rsidRDefault="00114487" w:rsidP="004A15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4B8"/>
    <w:multiLevelType w:val="hybridMultilevel"/>
    <w:tmpl w:val="22A69EA0"/>
    <w:lvl w:ilvl="0" w:tplc="F1420344">
      <w:start w:val="1"/>
      <w:numFmt w:val="decimal"/>
      <w:lvlText w:val="%1."/>
      <w:lvlJc w:val="left"/>
      <w:pPr>
        <w:ind w:left="144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C311F"/>
    <w:multiLevelType w:val="hybridMultilevel"/>
    <w:tmpl w:val="455A1C1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3448"/>
    <w:multiLevelType w:val="hybridMultilevel"/>
    <w:tmpl w:val="EFBEDFA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A4456C"/>
    <w:multiLevelType w:val="hybridMultilevel"/>
    <w:tmpl w:val="E962DD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CE7"/>
    <w:multiLevelType w:val="hybridMultilevel"/>
    <w:tmpl w:val="C0F64A0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7A4803"/>
    <w:multiLevelType w:val="hybridMultilevel"/>
    <w:tmpl w:val="D75A5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13"/>
    <w:rsid w:val="000046F7"/>
    <w:rsid w:val="00012181"/>
    <w:rsid w:val="0001310C"/>
    <w:rsid w:val="00027B8F"/>
    <w:rsid w:val="00083EA2"/>
    <w:rsid w:val="000846B2"/>
    <w:rsid w:val="00095413"/>
    <w:rsid w:val="000A7B48"/>
    <w:rsid w:val="000C2B98"/>
    <w:rsid w:val="000E3128"/>
    <w:rsid w:val="001104AC"/>
    <w:rsid w:val="00114487"/>
    <w:rsid w:val="00120B63"/>
    <w:rsid w:val="00122F15"/>
    <w:rsid w:val="0014289F"/>
    <w:rsid w:val="00155135"/>
    <w:rsid w:val="00166C62"/>
    <w:rsid w:val="001A1D24"/>
    <w:rsid w:val="001B1C58"/>
    <w:rsid w:val="001B4C9C"/>
    <w:rsid w:val="001D5C92"/>
    <w:rsid w:val="001E5961"/>
    <w:rsid w:val="00215601"/>
    <w:rsid w:val="00231FB7"/>
    <w:rsid w:val="00294E33"/>
    <w:rsid w:val="002A5E7F"/>
    <w:rsid w:val="002B5516"/>
    <w:rsid w:val="002C2768"/>
    <w:rsid w:val="002E32AC"/>
    <w:rsid w:val="002E3EA7"/>
    <w:rsid w:val="00323AE2"/>
    <w:rsid w:val="003655F0"/>
    <w:rsid w:val="003811E3"/>
    <w:rsid w:val="003A65A4"/>
    <w:rsid w:val="003B108A"/>
    <w:rsid w:val="003D246A"/>
    <w:rsid w:val="003E16E8"/>
    <w:rsid w:val="003E48EB"/>
    <w:rsid w:val="004013C8"/>
    <w:rsid w:val="004162D0"/>
    <w:rsid w:val="004340BB"/>
    <w:rsid w:val="0044218D"/>
    <w:rsid w:val="00453168"/>
    <w:rsid w:val="00455E33"/>
    <w:rsid w:val="004A1560"/>
    <w:rsid w:val="004C2635"/>
    <w:rsid w:val="005460C3"/>
    <w:rsid w:val="005574D3"/>
    <w:rsid w:val="005630EA"/>
    <w:rsid w:val="0057171C"/>
    <w:rsid w:val="00594959"/>
    <w:rsid w:val="005A15E5"/>
    <w:rsid w:val="005C2AB1"/>
    <w:rsid w:val="005D3E61"/>
    <w:rsid w:val="005E0948"/>
    <w:rsid w:val="00604228"/>
    <w:rsid w:val="00615C40"/>
    <w:rsid w:val="00663676"/>
    <w:rsid w:val="00685E0E"/>
    <w:rsid w:val="00686E10"/>
    <w:rsid w:val="00694489"/>
    <w:rsid w:val="006A05A9"/>
    <w:rsid w:val="006C43B8"/>
    <w:rsid w:val="006E33F0"/>
    <w:rsid w:val="006F3843"/>
    <w:rsid w:val="00710243"/>
    <w:rsid w:val="007455D8"/>
    <w:rsid w:val="00777B92"/>
    <w:rsid w:val="007849C7"/>
    <w:rsid w:val="00785E2E"/>
    <w:rsid w:val="0078671F"/>
    <w:rsid w:val="007C6D5F"/>
    <w:rsid w:val="007D4213"/>
    <w:rsid w:val="007D5428"/>
    <w:rsid w:val="007F4673"/>
    <w:rsid w:val="0081526A"/>
    <w:rsid w:val="00816282"/>
    <w:rsid w:val="00820183"/>
    <w:rsid w:val="008261CA"/>
    <w:rsid w:val="0085525E"/>
    <w:rsid w:val="00861F71"/>
    <w:rsid w:val="008817F8"/>
    <w:rsid w:val="008A7661"/>
    <w:rsid w:val="008E2AF2"/>
    <w:rsid w:val="008E41B8"/>
    <w:rsid w:val="00902EF9"/>
    <w:rsid w:val="00912282"/>
    <w:rsid w:val="0092331D"/>
    <w:rsid w:val="009458D5"/>
    <w:rsid w:val="00956B2A"/>
    <w:rsid w:val="00971D15"/>
    <w:rsid w:val="00975C57"/>
    <w:rsid w:val="009826D0"/>
    <w:rsid w:val="0099225F"/>
    <w:rsid w:val="009C3168"/>
    <w:rsid w:val="009D20A5"/>
    <w:rsid w:val="009E360C"/>
    <w:rsid w:val="009F4C99"/>
    <w:rsid w:val="00A52CBC"/>
    <w:rsid w:val="00AB0D1E"/>
    <w:rsid w:val="00AC4123"/>
    <w:rsid w:val="00AD1FDA"/>
    <w:rsid w:val="00AD3952"/>
    <w:rsid w:val="00AE0638"/>
    <w:rsid w:val="00B419E5"/>
    <w:rsid w:val="00B42B2B"/>
    <w:rsid w:val="00B56043"/>
    <w:rsid w:val="00B651C6"/>
    <w:rsid w:val="00B83B79"/>
    <w:rsid w:val="00B9298B"/>
    <w:rsid w:val="00BF0F20"/>
    <w:rsid w:val="00C02B60"/>
    <w:rsid w:val="00C03BBA"/>
    <w:rsid w:val="00C07F86"/>
    <w:rsid w:val="00C26BA8"/>
    <w:rsid w:val="00C308C9"/>
    <w:rsid w:val="00C37513"/>
    <w:rsid w:val="00C74229"/>
    <w:rsid w:val="00CC7316"/>
    <w:rsid w:val="00CE1D27"/>
    <w:rsid w:val="00D0149C"/>
    <w:rsid w:val="00D16F41"/>
    <w:rsid w:val="00D24050"/>
    <w:rsid w:val="00D65B29"/>
    <w:rsid w:val="00D81E91"/>
    <w:rsid w:val="00D9333E"/>
    <w:rsid w:val="00D96670"/>
    <w:rsid w:val="00DC63C6"/>
    <w:rsid w:val="00DC7461"/>
    <w:rsid w:val="00E03002"/>
    <w:rsid w:val="00E36709"/>
    <w:rsid w:val="00E370E4"/>
    <w:rsid w:val="00E46234"/>
    <w:rsid w:val="00E707BD"/>
    <w:rsid w:val="00EE36BE"/>
    <w:rsid w:val="00EE7D57"/>
    <w:rsid w:val="00F056B3"/>
    <w:rsid w:val="00F11BA5"/>
    <w:rsid w:val="00F31A1C"/>
    <w:rsid w:val="00F51271"/>
    <w:rsid w:val="00F6279E"/>
    <w:rsid w:val="00F80A89"/>
    <w:rsid w:val="00F87DE0"/>
    <w:rsid w:val="00FC1F51"/>
    <w:rsid w:val="00FF3B15"/>
    <w:rsid w:val="00FF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135F6"/>
  <w15:docId w15:val="{9BC01E2E-20B1-498D-AF51-0AB49785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E0E"/>
  </w:style>
  <w:style w:type="paragraph" w:styleId="Balk1">
    <w:name w:val="heading 1"/>
    <w:basedOn w:val="Normal"/>
    <w:next w:val="Normal"/>
    <w:link w:val="Balk1Char"/>
    <w:qFormat/>
    <w:rsid w:val="006E33F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C1F51"/>
    <w:rPr>
      <w:b/>
      <w:bCs/>
    </w:rPr>
  </w:style>
  <w:style w:type="character" w:customStyle="1" w:styleId="apple-converted-space">
    <w:name w:val="apple-converted-space"/>
    <w:basedOn w:val="VarsaylanParagrafYazTipi"/>
    <w:rsid w:val="00FC1F51"/>
  </w:style>
  <w:style w:type="table" w:styleId="TabloKlavuzu">
    <w:name w:val="Table Grid"/>
    <w:basedOn w:val="NormalTablo"/>
    <w:uiPriority w:val="59"/>
    <w:rsid w:val="00FC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28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1560"/>
  </w:style>
  <w:style w:type="paragraph" w:styleId="AltBilgi">
    <w:name w:val="footer"/>
    <w:basedOn w:val="Normal"/>
    <w:link w:val="AltBilgiChar"/>
    <w:uiPriority w:val="99"/>
    <w:unhideWhenUsed/>
    <w:rsid w:val="004A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1560"/>
  </w:style>
  <w:style w:type="paragraph" w:styleId="BalonMetni">
    <w:name w:val="Balloon Text"/>
    <w:basedOn w:val="Normal"/>
    <w:link w:val="BalonMetniChar"/>
    <w:uiPriority w:val="99"/>
    <w:semiHidden/>
    <w:unhideWhenUsed/>
    <w:rsid w:val="004A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5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604228"/>
    <w:pPr>
      <w:widowControl w:val="0"/>
      <w:autoSpaceDE w:val="0"/>
      <w:autoSpaceDN w:val="0"/>
      <w:adjustRightInd w:val="0"/>
      <w:spacing w:after="0" w:line="291" w:lineRule="exact"/>
      <w:ind w:firstLine="701"/>
      <w:jc w:val="both"/>
    </w:pPr>
    <w:rPr>
      <w:rFonts w:ascii="Candara" w:eastAsiaTheme="minorEastAsia" w:hAnsi="Candara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6E33F0"/>
    <w:rPr>
      <w:rFonts w:ascii="Arial" w:eastAsia="Times New Roman" w:hAnsi="Arial" w:cs="Times New Roman"/>
      <w:b/>
      <w:sz w:val="20"/>
      <w:szCs w:val="20"/>
      <w:u w:val="single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veysel</dc:creator>
  <cp:lastModifiedBy>Pau</cp:lastModifiedBy>
  <cp:revision>3</cp:revision>
  <cp:lastPrinted>2025-09-17T10:50:00Z</cp:lastPrinted>
  <dcterms:created xsi:type="dcterms:W3CDTF">2025-09-17T10:50:00Z</dcterms:created>
  <dcterms:modified xsi:type="dcterms:W3CDTF">2025-09-17T11:48:00Z</dcterms:modified>
</cp:coreProperties>
</file>