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EE9" w:rsidRDefault="004F1905">
      <w:pPr>
        <w:pStyle w:val="Balk1"/>
      </w:pPr>
      <w:r>
        <w:t>PAMUKKALE ÜNİVERSİTESİ OBEZİTE VE DİYABET UYGULAMA VE</w:t>
      </w:r>
    </w:p>
    <w:p w:rsidR="00875EE9" w:rsidRDefault="004F1905">
      <w:pPr>
        <w:spacing w:after="0"/>
        <w:ind w:left="1781" w:right="10" w:hanging="10"/>
        <w:jc w:val="center"/>
      </w:pPr>
      <w:r>
        <w:rPr>
          <w:b/>
        </w:rPr>
        <w:t>ARAŞTIRMA MERKEZİ YÖNETMELİĞİ</w:t>
      </w:r>
    </w:p>
    <w:p w:rsidR="00875EE9" w:rsidRDefault="004F1905">
      <w:pPr>
        <w:spacing w:after="0"/>
        <w:ind w:left="1759" w:right="0" w:firstLine="0"/>
        <w:jc w:val="center"/>
      </w:pPr>
      <w:r>
        <w:rPr>
          <w:b/>
        </w:rPr>
        <w:t xml:space="preserve"> </w:t>
      </w:r>
    </w:p>
    <w:p w:rsidR="00875EE9" w:rsidRDefault="004F1905">
      <w:pPr>
        <w:spacing w:after="0"/>
        <w:ind w:left="1781" w:right="17" w:hanging="10"/>
        <w:jc w:val="center"/>
      </w:pPr>
      <w:r>
        <w:rPr>
          <w:b/>
        </w:rPr>
        <w:t>BİRİNCİ BÖLÜM</w:t>
      </w:r>
    </w:p>
    <w:p w:rsidR="00875EE9" w:rsidRDefault="004F1905">
      <w:pPr>
        <w:spacing w:after="0"/>
        <w:ind w:left="1781" w:right="0" w:hanging="10"/>
        <w:jc w:val="center"/>
      </w:pPr>
      <w:r>
        <w:rPr>
          <w:b/>
        </w:rPr>
        <w:t>Amaç, Kapsam, Dayanak ve Tanımlar</w:t>
      </w:r>
    </w:p>
    <w:p w:rsidR="00875EE9" w:rsidRDefault="004F1905">
      <w:pPr>
        <w:pStyle w:val="Balk1"/>
        <w:ind w:left="1844"/>
      </w:pPr>
      <w:r>
        <w:t>Amaç</w:t>
      </w:r>
    </w:p>
    <w:p w:rsidR="00875EE9" w:rsidRDefault="004F1905">
      <w:pPr>
        <w:ind w:left="1404" w:right="57" w:firstLine="447"/>
      </w:pPr>
      <w:r>
        <w:rPr>
          <w:b/>
        </w:rPr>
        <w:t>MADDE 1 –</w:t>
      </w:r>
      <w:r>
        <w:t xml:space="preserve"> (1) Bu Yönetmeliğin amacı, Pamukkale Üniversitesi </w:t>
      </w:r>
      <w:proofErr w:type="spellStart"/>
      <w:r>
        <w:t>Obezite</w:t>
      </w:r>
      <w:proofErr w:type="spellEnd"/>
      <w:r>
        <w:t xml:space="preserve"> ve Diyabet Uygulama ve Araştırma Merkezinin amacına, faaliyet alanlarına, yönetim organlarına, yönetim organlarının görevlerine ve çalışma şekline ilişkin usul ve esasları düzenlemektir.</w:t>
      </w:r>
    </w:p>
    <w:p w:rsidR="00875EE9" w:rsidRDefault="004F1905">
      <w:pPr>
        <w:pStyle w:val="Balk1"/>
        <w:ind w:left="1844"/>
      </w:pPr>
      <w:r>
        <w:t>Kapsam</w:t>
      </w:r>
    </w:p>
    <w:p w:rsidR="00875EE9" w:rsidRDefault="004F1905">
      <w:pPr>
        <w:ind w:left="1404" w:right="57" w:firstLine="447"/>
      </w:pPr>
      <w:r>
        <w:rPr>
          <w:b/>
        </w:rPr>
        <w:t>MADDE 2 –</w:t>
      </w:r>
      <w:r>
        <w:t xml:space="preserve"> (1) Bu Yönetmelik, Pamukkale Üniversitesi </w:t>
      </w:r>
      <w:proofErr w:type="spellStart"/>
      <w:r>
        <w:t>Obezite</w:t>
      </w:r>
      <w:proofErr w:type="spellEnd"/>
      <w:r>
        <w:t xml:space="preserve"> ve Diyabet Uygulama ve Araştırma Merkezinin amacına, faaliyet alanlarına, yönetim organlarına, yönetim organlarının görevlerine ve çalışma şekline ilişkin hükümleri kapsar.</w:t>
      </w:r>
    </w:p>
    <w:p w:rsidR="00875EE9" w:rsidRDefault="004F1905">
      <w:pPr>
        <w:pStyle w:val="Balk1"/>
        <w:ind w:left="1844"/>
      </w:pPr>
      <w:r>
        <w:t>Dayanak</w:t>
      </w:r>
    </w:p>
    <w:p w:rsidR="00875EE9" w:rsidRDefault="004F1905">
      <w:pPr>
        <w:ind w:left="1844" w:right="57"/>
      </w:pPr>
      <w:r>
        <w:rPr>
          <w:b/>
        </w:rPr>
        <w:t xml:space="preserve">MADDE 3 – </w:t>
      </w:r>
      <w:r>
        <w:t>(1) Bu Yönetmelik, 4/11/1981 tarihli ve 2547 sayılı Yükseköğretim</w:t>
      </w:r>
    </w:p>
    <w:p w:rsidR="00875EE9" w:rsidRDefault="004F1905">
      <w:pPr>
        <w:ind w:right="57"/>
      </w:pPr>
      <w:r>
        <w:t xml:space="preserve">Kanununun 7 </w:t>
      </w:r>
      <w:proofErr w:type="spellStart"/>
      <w:r>
        <w:t>nci</w:t>
      </w:r>
      <w:proofErr w:type="spellEnd"/>
      <w:r>
        <w:t xml:space="preserve"> maddesinin birinci fıkrasının (d) bendinin (2) numaralı alt bendi ile 14 üncü maddesine dayanılarak hazırlanmıştır.</w:t>
      </w:r>
    </w:p>
    <w:p w:rsidR="00875EE9" w:rsidRDefault="004F1905">
      <w:pPr>
        <w:pStyle w:val="Balk1"/>
        <w:ind w:left="1844"/>
      </w:pPr>
      <w:r>
        <w:t>Tanımlar</w:t>
      </w:r>
    </w:p>
    <w:p w:rsidR="00875EE9" w:rsidRDefault="004F1905">
      <w:pPr>
        <w:ind w:left="1844" w:right="57"/>
      </w:pPr>
      <w:r>
        <w:rPr>
          <w:b/>
        </w:rPr>
        <w:t xml:space="preserve">MADDE 4 – </w:t>
      </w:r>
      <w:r>
        <w:t>(1) Bu Yönetmelikte geçen;</w:t>
      </w:r>
    </w:p>
    <w:p w:rsidR="00875EE9" w:rsidRDefault="004F1905">
      <w:pPr>
        <w:numPr>
          <w:ilvl w:val="0"/>
          <w:numId w:val="1"/>
        </w:numPr>
        <w:ind w:right="57" w:hanging="192"/>
      </w:pPr>
      <w:r>
        <w:t>Danışma Kurulu: Merkezin Danışma Kurulunu,</w:t>
      </w:r>
    </w:p>
    <w:p w:rsidR="00875EE9" w:rsidRDefault="004F1905">
      <w:pPr>
        <w:numPr>
          <w:ilvl w:val="0"/>
          <w:numId w:val="1"/>
        </w:numPr>
        <w:ind w:right="57" w:hanging="192"/>
      </w:pPr>
      <w:r>
        <w:t xml:space="preserve">Merkez: Pamukkale Üniversitesi </w:t>
      </w:r>
      <w:proofErr w:type="spellStart"/>
      <w:r>
        <w:t>Obezite</w:t>
      </w:r>
      <w:proofErr w:type="spellEnd"/>
      <w:r>
        <w:t xml:space="preserve"> ve Diyabet Uygulama ve Araştırma Merkezini</w:t>
      </w:r>
    </w:p>
    <w:p w:rsidR="00875EE9" w:rsidRDefault="004F1905">
      <w:pPr>
        <w:ind w:right="57"/>
      </w:pPr>
      <w:r>
        <w:t>(PAÜ-OBDİM),</w:t>
      </w:r>
    </w:p>
    <w:p w:rsidR="00875EE9" w:rsidRDefault="004F1905">
      <w:pPr>
        <w:numPr>
          <w:ilvl w:val="0"/>
          <w:numId w:val="1"/>
        </w:numPr>
        <w:ind w:right="57" w:hanging="192"/>
      </w:pPr>
      <w:r>
        <w:t>Müdür: Merkezin Müdürünü,</w:t>
      </w:r>
    </w:p>
    <w:p w:rsidR="00875EE9" w:rsidRDefault="004F1905">
      <w:pPr>
        <w:ind w:left="1844" w:right="57"/>
      </w:pPr>
      <w:r>
        <w:t>ç) Rektör: Pamukkale Üniversitesi Rektörünü,</w:t>
      </w:r>
    </w:p>
    <w:p w:rsidR="00875EE9" w:rsidRDefault="004F1905">
      <w:pPr>
        <w:numPr>
          <w:ilvl w:val="0"/>
          <w:numId w:val="1"/>
        </w:numPr>
        <w:ind w:right="57" w:hanging="192"/>
      </w:pPr>
      <w:r>
        <w:t>Senato: Pamukkale Üniversitesi Senatosunu,</w:t>
      </w:r>
    </w:p>
    <w:p w:rsidR="00875EE9" w:rsidRDefault="004F1905">
      <w:pPr>
        <w:numPr>
          <w:ilvl w:val="0"/>
          <w:numId w:val="1"/>
        </w:numPr>
        <w:ind w:right="57" w:hanging="192"/>
      </w:pPr>
      <w:r>
        <w:t>Üniversite: Pamukkale Üniversitesini,</w:t>
      </w:r>
    </w:p>
    <w:p w:rsidR="00875EE9" w:rsidRDefault="004F1905">
      <w:pPr>
        <w:numPr>
          <w:ilvl w:val="0"/>
          <w:numId w:val="1"/>
        </w:numPr>
        <w:ind w:right="57" w:hanging="192"/>
      </w:pPr>
      <w:r>
        <w:t>Yönetim Kurulu: Merkezin Yönetim Kurulunu, ifade eder.</w:t>
      </w:r>
    </w:p>
    <w:p w:rsidR="00875EE9" w:rsidRDefault="004F1905">
      <w:pPr>
        <w:spacing w:after="0"/>
        <w:ind w:left="1781" w:right="17" w:hanging="10"/>
        <w:jc w:val="center"/>
      </w:pPr>
      <w:r>
        <w:rPr>
          <w:b/>
        </w:rPr>
        <w:t>İKİNCİ BÖLÜM</w:t>
      </w:r>
    </w:p>
    <w:p w:rsidR="00875EE9" w:rsidRDefault="004F1905">
      <w:pPr>
        <w:spacing w:after="0"/>
        <w:ind w:left="1781" w:right="6" w:hanging="10"/>
        <w:jc w:val="center"/>
      </w:pPr>
      <w:r>
        <w:rPr>
          <w:b/>
        </w:rPr>
        <w:t>Merkezin Amaçları ve Faaliyet Alanları</w:t>
      </w:r>
    </w:p>
    <w:p w:rsidR="00875EE9" w:rsidRPr="006D0CB7" w:rsidRDefault="004F1905">
      <w:pPr>
        <w:pStyle w:val="Balk1"/>
        <w:ind w:left="1844"/>
        <w:rPr>
          <w:highlight w:val="yellow"/>
        </w:rPr>
      </w:pPr>
      <w:r w:rsidRPr="006D0CB7">
        <w:rPr>
          <w:highlight w:val="yellow"/>
        </w:rPr>
        <w:t>Merkezin amaçları</w:t>
      </w:r>
    </w:p>
    <w:p w:rsidR="00875EE9" w:rsidRPr="006D0CB7" w:rsidRDefault="004F1905">
      <w:pPr>
        <w:ind w:left="1844" w:right="57"/>
        <w:rPr>
          <w:highlight w:val="yellow"/>
        </w:rPr>
      </w:pPr>
      <w:r w:rsidRPr="006D0CB7">
        <w:rPr>
          <w:b/>
          <w:highlight w:val="yellow"/>
        </w:rPr>
        <w:t>MADDE 5 –</w:t>
      </w:r>
      <w:r w:rsidRPr="006D0CB7">
        <w:rPr>
          <w:highlight w:val="yellow"/>
        </w:rPr>
        <w:t xml:space="preserve"> (1) Merkezin amaçları şunlardır:</w:t>
      </w:r>
    </w:p>
    <w:p w:rsidR="00875EE9" w:rsidRPr="006D0CB7" w:rsidRDefault="004F1905">
      <w:pPr>
        <w:numPr>
          <w:ilvl w:val="0"/>
          <w:numId w:val="2"/>
        </w:numPr>
        <w:ind w:right="57" w:hanging="231"/>
        <w:rPr>
          <w:highlight w:val="yellow"/>
        </w:rPr>
      </w:pPr>
      <w:proofErr w:type="spellStart"/>
      <w:r w:rsidRPr="006D0CB7">
        <w:rPr>
          <w:highlight w:val="yellow"/>
        </w:rPr>
        <w:t>Obezite</w:t>
      </w:r>
      <w:proofErr w:type="spellEnd"/>
      <w:r w:rsidRPr="006D0CB7">
        <w:rPr>
          <w:highlight w:val="yellow"/>
        </w:rPr>
        <w:t xml:space="preserve"> (şişmanlık) ve diyabet (şeker) hastalıklarının toplumda farkındalığını sağlamak,</w:t>
      </w:r>
    </w:p>
    <w:p w:rsidR="00875EE9" w:rsidRPr="006D0CB7" w:rsidRDefault="004F1905">
      <w:pPr>
        <w:ind w:right="57"/>
        <w:rPr>
          <w:highlight w:val="yellow"/>
        </w:rPr>
      </w:pPr>
      <w:proofErr w:type="gramStart"/>
      <w:r w:rsidRPr="006D0CB7">
        <w:rPr>
          <w:highlight w:val="yellow"/>
        </w:rPr>
        <w:t>bu</w:t>
      </w:r>
      <w:proofErr w:type="gramEnd"/>
      <w:r w:rsidRPr="006D0CB7">
        <w:rPr>
          <w:highlight w:val="yellow"/>
        </w:rPr>
        <w:t xml:space="preserve"> hastalıkların önlenmesi, sağaltımı ve yönetimi için eğitim, bilimsel araştırmalar, uygulamalar ve projeler yapmak, kurslar düzenlemek,</w:t>
      </w:r>
    </w:p>
    <w:p w:rsidR="00875EE9" w:rsidRPr="006D0CB7" w:rsidRDefault="004F1905">
      <w:pPr>
        <w:numPr>
          <w:ilvl w:val="0"/>
          <w:numId w:val="2"/>
        </w:numPr>
        <w:ind w:right="57" w:hanging="231"/>
        <w:rPr>
          <w:highlight w:val="yellow"/>
        </w:rPr>
      </w:pPr>
      <w:r w:rsidRPr="006D0CB7">
        <w:rPr>
          <w:highlight w:val="yellow"/>
        </w:rPr>
        <w:t>Bu faaliyetlerini ulusal ve uluslararası ölçekte, Üniversitenin diğer birimleri, kamu kurum</w:t>
      </w:r>
    </w:p>
    <w:p w:rsidR="00875EE9" w:rsidRPr="006D0CB7" w:rsidRDefault="004F1905">
      <w:pPr>
        <w:ind w:right="57"/>
        <w:rPr>
          <w:highlight w:val="yellow"/>
        </w:rPr>
      </w:pPr>
      <w:proofErr w:type="gramStart"/>
      <w:r w:rsidRPr="006D0CB7">
        <w:rPr>
          <w:highlight w:val="yellow"/>
        </w:rPr>
        <w:t>ve</w:t>
      </w:r>
      <w:proofErr w:type="gramEnd"/>
      <w:r w:rsidRPr="006D0CB7">
        <w:rPr>
          <w:highlight w:val="yellow"/>
        </w:rPr>
        <w:t xml:space="preserve"> kuruluşları, ulusal ve uluslararası kuruluşlar, sivil toplum örgütleriyle koordinasyon ve belirlenecek protokollerle gerçekleştirmek.</w:t>
      </w:r>
    </w:p>
    <w:p w:rsidR="00875EE9" w:rsidRPr="006D0CB7" w:rsidRDefault="004F1905">
      <w:pPr>
        <w:pStyle w:val="Balk1"/>
        <w:ind w:left="1844"/>
        <w:rPr>
          <w:highlight w:val="yellow"/>
        </w:rPr>
      </w:pPr>
      <w:r w:rsidRPr="006D0CB7">
        <w:rPr>
          <w:highlight w:val="yellow"/>
        </w:rPr>
        <w:t>Merkezin faaliyet alanları</w:t>
      </w:r>
    </w:p>
    <w:p w:rsidR="00875EE9" w:rsidRPr="006D0CB7" w:rsidRDefault="004F1905">
      <w:pPr>
        <w:ind w:left="1844" w:right="57"/>
        <w:rPr>
          <w:highlight w:val="yellow"/>
        </w:rPr>
      </w:pPr>
      <w:r w:rsidRPr="006D0CB7">
        <w:rPr>
          <w:b/>
          <w:highlight w:val="yellow"/>
        </w:rPr>
        <w:t>MADDE 6 –</w:t>
      </w:r>
      <w:r w:rsidRPr="006D0CB7">
        <w:rPr>
          <w:highlight w:val="yellow"/>
        </w:rPr>
        <w:t xml:space="preserve"> (1) Merkezin faaliyet alanları şunlardır:</w:t>
      </w:r>
    </w:p>
    <w:p w:rsidR="00875EE9" w:rsidRPr="006D0CB7" w:rsidRDefault="004F1905">
      <w:pPr>
        <w:numPr>
          <w:ilvl w:val="0"/>
          <w:numId w:val="3"/>
        </w:numPr>
        <w:ind w:right="57" w:firstLine="444"/>
        <w:rPr>
          <w:highlight w:val="yellow"/>
        </w:rPr>
      </w:pPr>
      <w:r w:rsidRPr="006D0CB7">
        <w:rPr>
          <w:highlight w:val="yellow"/>
        </w:rPr>
        <w:t xml:space="preserve">Sağlıklı, </w:t>
      </w:r>
      <w:proofErr w:type="spellStart"/>
      <w:r w:rsidRPr="006D0CB7">
        <w:rPr>
          <w:highlight w:val="yellow"/>
        </w:rPr>
        <w:t>obezite</w:t>
      </w:r>
      <w:proofErr w:type="spellEnd"/>
      <w:r w:rsidRPr="006D0CB7">
        <w:rPr>
          <w:highlight w:val="yellow"/>
        </w:rPr>
        <w:t xml:space="preserve"> ve diyabet riski taşıyan bireyleri </w:t>
      </w:r>
      <w:proofErr w:type="spellStart"/>
      <w:r w:rsidRPr="006D0CB7">
        <w:rPr>
          <w:highlight w:val="yellow"/>
        </w:rPr>
        <w:t>obezite</w:t>
      </w:r>
      <w:proofErr w:type="spellEnd"/>
      <w:r w:rsidRPr="006D0CB7">
        <w:rPr>
          <w:highlight w:val="yellow"/>
        </w:rPr>
        <w:t xml:space="preserve"> ve diyabetin önlenmesi</w:t>
      </w:r>
    </w:p>
    <w:p w:rsidR="00875EE9" w:rsidRPr="006D0CB7" w:rsidRDefault="004F1905">
      <w:pPr>
        <w:ind w:right="57"/>
        <w:rPr>
          <w:highlight w:val="yellow"/>
        </w:rPr>
      </w:pPr>
      <w:proofErr w:type="gramStart"/>
      <w:r w:rsidRPr="006D0CB7">
        <w:rPr>
          <w:highlight w:val="yellow"/>
        </w:rPr>
        <w:t>konusunda</w:t>
      </w:r>
      <w:proofErr w:type="gramEnd"/>
      <w:r w:rsidRPr="006D0CB7">
        <w:rPr>
          <w:highlight w:val="yellow"/>
        </w:rPr>
        <w:t xml:space="preserve"> eğitmek ve bu konularda toplumun farkındalığını artırmak,</w:t>
      </w:r>
    </w:p>
    <w:p w:rsidR="00875EE9" w:rsidRPr="006D0CB7" w:rsidRDefault="004F1905">
      <w:pPr>
        <w:numPr>
          <w:ilvl w:val="0"/>
          <w:numId w:val="3"/>
        </w:numPr>
        <w:ind w:right="57" w:firstLine="444"/>
        <w:rPr>
          <w:highlight w:val="yellow"/>
        </w:rPr>
      </w:pPr>
      <w:r w:rsidRPr="006D0CB7">
        <w:rPr>
          <w:highlight w:val="yellow"/>
        </w:rPr>
        <w:t xml:space="preserve">Diyabet ve </w:t>
      </w:r>
      <w:proofErr w:type="spellStart"/>
      <w:r w:rsidRPr="006D0CB7">
        <w:rPr>
          <w:highlight w:val="yellow"/>
        </w:rPr>
        <w:t>obezitenin</w:t>
      </w:r>
      <w:proofErr w:type="spellEnd"/>
      <w:r w:rsidRPr="006D0CB7">
        <w:rPr>
          <w:highlight w:val="yellow"/>
        </w:rPr>
        <w:t xml:space="preserve"> tanı, tedavi ve izlem standartlarını geliştirerek etkin biçimde</w:t>
      </w:r>
    </w:p>
    <w:p w:rsidR="00875EE9" w:rsidRPr="006D0CB7" w:rsidRDefault="004F1905">
      <w:pPr>
        <w:ind w:right="57"/>
        <w:rPr>
          <w:highlight w:val="yellow"/>
        </w:rPr>
      </w:pPr>
      <w:proofErr w:type="gramStart"/>
      <w:r w:rsidRPr="006D0CB7">
        <w:rPr>
          <w:highlight w:val="yellow"/>
        </w:rPr>
        <w:t>uygulanmasını</w:t>
      </w:r>
      <w:proofErr w:type="gramEnd"/>
      <w:r w:rsidRPr="006D0CB7">
        <w:rPr>
          <w:highlight w:val="yellow"/>
        </w:rPr>
        <w:t xml:space="preserve"> sağlamak,</w:t>
      </w:r>
    </w:p>
    <w:p w:rsidR="00875EE9" w:rsidRPr="006D0CB7" w:rsidRDefault="004F1905">
      <w:pPr>
        <w:numPr>
          <w:ilvl w:val="0"/>
          <w:numId w:val="3"/>
        </w:numPr>
        <w:ind w:right="57" w:firstLine="444"/>
        <w:rPr>
          <w:highlight w:val="yellow"/>
        </w:rPr>
      </w:pPr>
      <w:proofErr w:type="spellStart"/>
      <w:r w:rsidRPr="006D0CB7">
        <w:rPr>
          <w:highlight w:val="yellow"/>
        </w:rPr>
        <w:t>Obezite</w:t>
      </w:r>
      <w:proofErr w:type="spellEnd"/>
      <w:r w:rsidRPr="006D0CB7">
        <w:rPr>
          <w:highlight w:val="yellow"/>
        </w:rPr>
        <w:t xml:space="preserve"> ve diyabet hastalıkları konusunda toplumu bilgilendirmek, risk faktörleri</w:t>
      </w:r>
    </w:p>
    <w:p w:rsidR="00875EE9" w:rsidRPr="006D0CB7" w:rsidRDefault="004F1905">
      <w:pPr>
        <w:ind w:right="57"/>
        <w:rPr>
          <w:highlight w:val="yellow"/>
        </w:rPr>
      </w:pPr>
      <w:r w:rsidRPr="006D0CB7">
        <w:rPr>
          <w:highlight w:val="yellow"/>
        </w:rPr>
        <w:t xml:space="preserve">konusunda kalıcı davranış değişiklikleri sağlamak için çalışmalar yürütmek, hastalıkları erken dönemde saptamak ve ilerlemesini önlemek, hastalıkların etkin tedavisi, akut ve kronik komplikasyonlarının gelişimini önlemek ve bu hastalıklara yönelik </w:t>
      </w:r>
      <w:proofErr w:type="gramStart"/>
      <w:r w:rsidRPr="006D0CB7">
        <w:rPr>
          <w:highlight w:val="yellow"/>
        </w:rPr>
        <w:t>rehabilitasyon</w:t>
      </w:r>
      <w:proofErr w:type="gramEnd"/>
      <w:r w:rsidRPr="006D0CB7">
        <w:rPr>
          <w:highlight w:val="yellow"/>
        </w:rPr>
        <w:t xml:space="preserve"> hizmetleri sunmak, etkin </w:t>
      </w:r>
      <w:proofErr w:type="spellStart"/>
      <w:r w:rsidRPr="006D0CB7">
        <w:rPr>
          <w:highlight w:val="yellow"/>
        </w:rPr>
        <w:t>surveyanslarının</w:t>
      </w:r>
      <w:proofErr w:type="spellEnd"/>
      <w:r w:rsidRPr="006D0CB7">
        <w:rPr>
          <w:highlight w:val="yellow"/>
        </w:rPr>
        <w:t xml:space="preserve"> yapılması suretiyle bireylerin sağlık açısından kalitesi yüksek bir hayat sürdürmelerini sağlamak,</w:t>
      </w:r>
    </w:p>
    <w:p w:rsidR="00875EE9" w:rsidRPr="006D0CB7" w:rsidRDefault="004F1905">
      <w:pPr>
        <w:ind w:left="1844" w:right="57"/>
        <w:rPr>
          <w:highlight w:val="yellow"/>
        </w:rPr>
      </w:pPr>
      <w:r w:rsidRPr="006D0CB7">
        <w:rPr>
          <w:highlight w:val="yellow"/>
        </w:rPr>
        <w:t xml:space="preserve">ç) 0-18 yaş grubunda bulunan fazla kilolu, </w:t>
      </w:r>
      <w:proofErr w:type="spellStart"/>
      <w:r w:rsidRPr="006D0CB7">
        <w:rPr>
          <w:highlight w:val="yellow"/>
        </w:rPr>
        <w:t>obez</w:t>
      </w:r>
      <w:proofErr w:type="spellEnd"/>
      <w:r w:rsidRPr="006D0CB7">
        <w:rPr>
          <w:highlight w:val="yellow"/>
        </w:rPr>
        <w:t>, Tip 1 ve Tip 2 diyabetli çocukların bakım</w:t>
      </w:r>
    </w:p>
    <w:p w:rsidR="00875EE9" w:rsidRPr="006D0CB7" w:rsidRDefault="004F1905">
      <w:pPr>
        <w:ind w:right="57"/>
        <w:rPr>
          <w:highlight w:val="yellow"/>
        </w:rPr>
      </w:pPr>
      <w:proofErr w:type="gramStart"/>
      <w:r w:rsidRPr="006D0CB7">
        <w:rPr>
          <w:highlight w:val="yellow"/>
        </w:rPr>
        <w:t>ve</w:t>
      </w:r>
      <w:proofErr w:type="gramEnd"/>
      <w:r w:rsidRPr="006D0CB7">
        <w:rPr>
          <w:highlight w:val="yellow"/>
        </w:rPr>
        <w:t xml:space="preserve"> tedavi standartlarını geliştirmek, Tip 1 diyabetli çocuklara erken tanı koymak,</w:t>
      </w:r>
    </w:p>
    <w:p w:rsidR="00875EE9" w:rsidRPr="006D0CB7" w:rsidRDefault="004F1905">
      <w:pPr>
        <w:numPr>
          <w:ilvl w:val="0"/>
          <w:numId w:val="3"/>
        </w:numPr>
        <w:ind w:right="57" w:firstLine="444"/>
        <w:rPr>
          <w:highlight w:val="yellow"/>
        </w:rPr>
      </w:pPr>
      <w:proofErr w:type="spellStart"/>
      <w:r w:rsidRPr="006D0CB7">
        <w:rPr>
          <w:highlight w:val="yellow"/>
        </w:rPr>
        <w:t>Obez</w:t>
      </w:r>
      <w:proofErr w:type="spellEnd"/>
      <w:r w:rsidRPr="006D0CB7">
        <w:rPr>
          <w:highlight w:val="yellow"/>
        </w:rPr>
        <w:t xml:space="preserve"> ve diyabetik çocuklar ile ailelerine standart ve yeterli eğitim vermek,</w:t>
      </w:r>
    </w:p>
    <w:p w:rsidR="00875EE9" w:rsidRPr="006D0CB7" w:rsidRDefault="004F1905">
      <w:pPr>
        <w:numPr>
          <w:ilvl w:val="0"/>
          <w:numId w:val="3"/>
        </w:numPr>
        <w:ind w:right="57" w:firstLine="444"/>
        <w:rPr>
          <w:highlight w:val="yellow"/>
        </w:rPr>
      </w:pPr>
      <w:proofErr w:type="spellStart"/>
      <w:r w:rsidRPr="006D0CB7">
        <w:rPr>
          <w:highlight w:val="yellow"/>
        </w:rPr>
        <w:lastRenderedPageBreak/>
        <w:t>Obezite</w:t>
      </w:r>
      <w:proofErr w:type="spellEnd"/>
      <w:r w:rsidRPr="006D0CB7">
        <w:rPr>
          <w:highlight w:val="yellow"/>
        </w:rPr>
        <w:t xml:space="preserve"> ve diyabet hastalığı ile ortaya çıkan diğer sorunlar üzerine bilimsel çalışmalar</w:t>
      </w:r>
    </w:p>
    <w:p w:rsidR="00875EE9" w:rsidRPr="006D0CB7" w:rsidRDefault="004F1905">
      <w:pPr>
        <w:ind w:right="57"/>
        <w:rPr>
          <w:highlight w:val="yellow"/>
        </w:rPr>
      </w:pPr>
      <w:proofErr w:type="gramStart"/>
      <w:r w:rsidRPr="006D0CB7">
        <w:rPr>
          <w:highlight w:val="yellow"/>
        </w:rPr>
        <w:t>yapmak</w:t>
      </w:r>
      <w:proofErr w:type="gramEnd"/>
      <w:r w:rsidRPr="006D0CB7">
        <w:rPr>
          <w:highlight w:val="yellow"/>
        </w:rPr>
        <w:t>,</w:t>
      </w:r>
    </w:p>
    <w:p w:rsidR="00875EE9" w:rsidRPr="006D0CB7" w:rsidRDefault="004F1905">
      <w:pPr>
        <w:numPr>
          <w:ilvl w:val="0"/>
          <w:numId w:val="3"/>
        </w:numPr>
        <w:ind w:right="57" w:firstLine="444"/>
        <w:rPr>
          <w:highlight w:val="yellow"/>
        </w:rPr>
      </w:pPr>
      <w:proofErr w:type="spellStart"/>
      <w:r w:rsidRPr="006D0CB7">
        <w:rPr>
          <w:highlight w:val="yellow"/>
        </w:rPr>
        <w:t>Obezite</w:t>
      </w:r>
      <w:proofErr w:type="spellEnd"/>
      <w:r w:rsidRPr="006D0CB7">
        <w:rPr>
          <w:highlight w:val="yellow"/>
        </w:rPr>
        <w:t xml:space="preserve"> ve diyabete yönelik beslenme, egzersiz, ağırlık yönetimi yanında geleneksel ve</w:t>
      </w:r>
    </w:p>
    <w:p w:rsidR="00875EE9" w:rsidRPr="006D0CB7" w:rsidRDefault="004F1905">
      <w:pPr>
        <w:ind w:right="57"/>
        <w:rPr>
          <w:highlight w:val="yellow"/>
        </w:rPr>
      </w:pPr>
      <w:proofErr w:type="gramStart"/>
      <w:r w:rsidRPr="006D0CB7">
        <w:rPr>
          <w:highlight w:val="yellow"/>
        </w:rPr>
        <w:t>tamamlayıcı</w:t>
      </w:r>
      <w:proofErr w:type="gramEnd"/>
      <w:r w:rsidRPr="006D0CB7">
        <w:rPr>
          <w:highlight w:val="yellow"/>
        </w:rPr>
        <w:t xml:space="preserve"> tedavi yöntemleri ile güncel tedavi yöntemlerini imkanlar doğrultusunda uygulamak,</w:t>
      </w:r>
    </w:p>
    <w:p w:rsidR="00875EE9" w:rsidRPr="006D0CB7" w:rsidRDefault="004F1905">
      <w:pPr>
        <w:numPr>
          <w:ilvl w:val="0"/>
          <w:numId w:val="3"/>
        </w:numPr>
        <w:ind w:right="57" w:firstLine="444"/>
        <w:rPr>
          <w:highlight w:val="yellow"/>
        </w:rPr>
      </w:pPr>
      <w:proofErr w:type="spellStart"/>
      <w:r w:rsidRPr="006D0CB7">
        <w:rPr>
          <w:highlight w:val="yellow"/>
        </w:rPr>
        <w:t>Obezite</w:t>
      </w:r>
      <w:proofErr w:type="spellEnd"/>
      <w:r w:rsidRPr="006D0CB7">
        <w:rPr>
          <w:highlight w:val="yellow"/>
        </w:rPr>
        <w:t xml:space="preserve"> ve diyabet alanlarında ulusal ve uluslararası kuruluşlarla her türlü bilimsel işbirliği, araştırma ve hizmet yürütebilecek bir platform oluşturmak, Üniversitede bu konuda çalışan tüm birimleri kapsayan çok disiplinli koordinasyon ve ortak çalışmalar gerçekleştirmek,</w:t>
      </w:r>
    </w:p>
    <w:p w:rsidR="00875EE9" w:rsidRPr="006D0CB7" w:rsidRDefault="004F1905">
      <w:pPr>
        <w:ind w:left="1404" w:right="57" w:firstLine="444"/>
        <w:rPr>
          <w:highlight w:val="yellow"/>
        </w:rPr>
      </w:pPr>
      <w:r w:rsidRPr="006D0CB7">
        <w:rPr>
          <w:highlight w:val="yellow"/>
        </w:rPr>
        <w:t xml:space="preserve">ğ) </w:t>
      </w:r>
      <w:proofErr w:type="spellStart"/>
      <w:r w:rsidRPr="006D0CB7">
        <w:rPr>
          <w:highlight w:val="yellow"/>
        </w:rPr>
        <w:t>Obezite</w:t>
      </w:r>
      <w:proofErr w:type="spellEnd"/>
      <w:r w:rsidRPr="006D0CB7">
        <w:rPr>
          <w:highlight w:val="yellow"/>
        </w:rPr>
        <w:t xml:space="preserve"> ve diyabet alanlarında ulusal ve uluslararası bilimsel araştırma projeleri yürütmek, bu araştırmaları bilimsel yayınlara dönüştürmek, çeşitli bilimsel toplantılar düzenlemek, diyabet ve </w:t>
      </w:r>
      <w:proofErr w:type="spellStart"/>
      <w:r w:rsidRPr="006D0CB7">
        <w:rPr>
          <w:highlight w:val="yellow"/>
        </w:rPr>
        <w:t>obezite</w:t>
      </w:r>
      <w:proofErr w:type="spellEnd"/>
      <w:r w:rsidRPr="006D0CB7">
        <w:rPr>
          <w:highlight w:val="yellow"/>
        </w:rPr>
        <w:t xml:space="preserve"> konusunda klinik ve temel bilimler alanında uygulamalı çalışmalar yapmak, çalışmalara katılmak,</w:t>
      </w:r>
    </w:p>
    <w:p w:rsidR="00875EE9" w:rsidRPr="006D0CB7" w:rsidRDefault="004F1905">
      <w:pPr>
        <w:numPr>
          <w:ilvl w:val="0"/>
          <w:numId w:val="3"/>
        </w:numPr>
        <w:ind w:right="57" w:firstLine="444"/>
        <w:rPr>
          <w:highlight w:val="yellow"/>
        </w:rPr>
      </w:pPr>
      <w:r w:rsidRPr="006D0CB7">
        <w:rPr>
          <w:highlight w:val="yellow"/>
        </w:rPr>
        <w:t xml:space="preserve">Merkez bünyesindeki </w:t>
      </w:r>
      <w:proofErr w:type="spellStart"/>
      <w:r w:rsidRPr="006D0CB7">
        <w:rPr>
          <w:highlight w:val="yellow"/>
        </w:rPr>
        <w:t>obezite</w:t>
      </w:r>
      <w:proofErr w:type="spellEnd"/>
      <w:r w:rsidRPr="006D0CB7">
        <w:rPr>
          <w:highlight w:val="yellow"/>
        </w:rPr>
        <w:t xml:space="preserve"> ve diyabet alanında hizmet veren birimlere ve sağlık</w:t>
      </w:r>
    </w:p>
    <w:p w:rsidR="00875EE9" w:rsidRDefault="004F1905">
      <w:pPr>
        <w:ind w:right="57"/>
      </w:pPr>
      <w:proofErr w:type="gramStart"/>
      <w:r w:rsidRPr="006D0CB7">
        <w:rPr>
          <w:highlight w:val="yellow"/>
        </w:rPr>
        <w:t>görevlilerine</w:t>
      </w:r>
      <w:proofErr w:type="gramEnd"/>
      <w:r w:rsidRPr="006D0CB7">
        <w:rPr>
          <w:highlight w:val="yellow"/>
        </w:rPr>
        <w:t xml:space="preserve"> sürekli eğitim sağlamak, kurs, panel, seminerler düzenlemek, katılım belgesi, başarı belgesi ve sertifika vermek, eğitime yönelik elektronik ve yazılı basılmış materyaller ve kitaplar hazırlamak.</w:t>
      </w:r>
      <w:bookmarkStart w:id="0" w:name="_GoBack"/>
      <w:bookmarkEnd w:id="0"/>
    </w:p>
    <w:p w:rsidR="00875EE9" w:rsidRDefault="004F1905">
      <w:pPr>
        <w:spacing w:after="0"/>
        <w:ind w:left="1781" w:right="17" w:hanging="10"/>
        <w:jc w:val="center"/>
      </w:pPr>
      <w:r>
        <w:rPr>
          <w:b/>
        </w:rPr>
        <w:t>ÜÇÜNCÜ BÖLÜM</w:t>
      </w:r>
    </w:p>
    <w:p w:rsidR="00875EE9" w:rsidRDefault="004F1905">
      <w:pPr>
        <w:spacing w:after="0"/>
        <w:ind w:left="1781" w:right="6" w:hanging="10"/>
        <w:jc w:val="center"/>
      </w:pPr>
      <w:r>
        <w:rPr>
          <w:b/>
        </w:rPr>
        <w:t>Merkezin Yönetim Organları ve Görevleri</w:t>
      </w:r>
    </w:p>
    <w:p w:rsidR="00875EE9" w:rsidRDefault="004F1905">
      <w:pPr>
        <w:pStyle w:val="Balk1"/>
        <w:ind w:left="1844"/>
      </w:pPr>
      <w:r>
        <w:t>Merkezin yönetim organları</w:t>
      </w:r>
    </w:p>
    <w:p w:rsidR="00875EE9" w:rsidRDefault="004F1905">
      <w:pPr>
        <w:ind w:left="1844" w:right="57"/>
      </w:pPr>
      <w:r>
        <w:rPr>
          <w:b/>
        </w:rPr>
        <w:t>MADDE 7 –</w:t>
      </w:r>
      <w:r>
        <w:t xml:space="preserve"> (1) Merkezin yönetim organları şunlardır:</w:t>
      </w:r>
    </w:p>
    <w:p w:rsidR="00875EE9" w:rsidRDefault="004F1905">
      <w:pPr>
        <w:numPr>
          <w:ilvl w:val="0"/>
          <w:numId w:val="4"/>
        </w:numPr>
        <w:ind w:right="57" w:hanging="192"/>
      </w:pPr>
      <w:r>
        <w:t>Müdür,</w:t>
      </w:r>
    </w:p>
    <w:p w:rsidR="00875EE9" w:rsidRDefault="004F1905">
      <w:pPr>
        <w:numPr>
          <w:ilvl w:val="0"/>
          <w:numId w:val="4"/>
        </w:numPr>
        <w:ind w:right="57" w:hanging="192"/>
      </w:pPr>
      <w:r>
        <w:t>Yönetim Kurulu,</w:t>
      </w:r>
    </w:p>
    <w:p w:rsidR="00875EE9" w:rsidRDefault="004F1905">
      <w:pPr>
        <w:numPr>
          <w:ilvl w:val="0"/>
          <w:numId w:val="4"/>
        </w:numPr>
        <w:ind w:right="57" w:hanging="192"/>
      </w:pPr>
      <w:r>
        <w:t>Danışma Kurulu.</w:t>
      </w:r>
    </w:p>
    <w:p w:rsidR="00875EE9" w:rsidRDefault="004F1905">
      <w:pPr>
        <w:pStyle w:val="Balk1"/>
        <w:ind w:left="1844"/>
      </w:pPr>
      <w:r>
        <w:t>Müdür</w:t>
      </w:r>
    </w:p>
    <w:p w:rsidR="00875EE9" w:rsidRDefault="004F1905">
      <w:pPr>
        <w:ind w:left="1404" w:right="57" w:firstLine="447"/>
      </w:pPr>
      <w:r>
        <w:rPr>
          <w:b/>
        </w:rPr>
        <w:t>MADDE 8 –</w:t>
      </w:r>
      <w:r>
        <w:t xml:space="preserve"> (1) Müdür, Üniversitenin öğretim elemanları arasından Rektör tarafından üç yıl süre için görevlendirilir. Süresi biten Müdür tekrar görevlendirilebilir ve aynı usulle görevden alınabilir. Müdürün görevinin başında altı aydan fazla bulunamaması durumunda, yeni bir Müdür görevlendirilir.</w:t>
      </w:r>
    </w:p>
    <w:p w:rsidR="00875EE9" w:rsidRDefault="004F1905">
      <w:pPr>
        <w:numPr>
          <w:ilvl w:val="0"/>
          <w:numId w:val="5"/>
        </w:numPr>
        <w:ind w:right="57" w:firstLine="444"/>
      </w:pPr>
      <w:r>
        <w:t>Müdürün önerisi üzerine Üniversitede görevli öğretim elemanlarından en çok iki kişi müdür yardımcısı olarak Rektör tarafından üç yıl süre ile görevlendirilir. Müdür yardımcıları, Müdürün kendilerine vereceği görevleri yaparlar. Müdür, görevi başında bulunmadığı zaman müdür yardımcılarından birisini vekil bırakır.</w:t>
      </w:r>
    </w:p>
    <w:p w:rsidR="00875EE9" w:rsidRDefault="004F1905">
      <w:pPr>
        <w:numPr>
          <w:ilvl w:val="0"/>
          <w:numId w:val="5"/>
        </w:numPr>
        <w:ind w:right="57" w:firstLine="444"/>
      </w:pPr>
      <w:r>
        <w:t>Müdür, Merkezin çalışmalarının düzenli olarak yürütülmesi ve geliştirilmesinden Rektöre karşı sorumludur.</w:t>
      </w:r>
    </w:p>
    <w:p w:rsidR="00875EE9" w:rsidRDefault="004F1905">
      <w:pPr>
        <w:pStyle w:val="Balk1"/>
        <w:ind w:left="1844"/>
      </w:pPr>
      <w:r>
        <w:t>Müdürün görevleri</w:t>
      </w:r>
    </w:p>
    <w:p w:rsidR="00875EE9" w:rsidRDefault="004F1905">
      <w:pPr>
        <w:ind w:left="1844" w:right="3072"/>
      </w:pPr>
      <w:r>
        <w:rPr>
          <w:b/>
        </w:rPr>
        <w:t>MADDE 9 –</w:t>
      </w:r>
      <w:r>
        <w:t xml:space="preserve"> (1) Müdürün görevleri şunlardır: a) Merkezi temsil etmek,</w:t>
      </w:r>
    </w:p>
    <w:p w:rsidR="00875EE9" w:rsidRDefault="004F1905">
      <w:pPr>
        <w:numPr>
          <w:ilvl w:val="0"/>
          <w:numId w:val="6"/>
        </w:numPr>
        <w:ind w:right="57" w:hanging="279"/>
      </w:pPr>
      <w:r>
        <w:t>Yönetim Kuruluna ve Danışma Kuruluna başkanlık etmek,</w:t>
      </w:r>
    </w:p>
    <w:p w:rsidR="00875EE9" w:rsidRDefault="004F1905">
      <w:pPr>
        <w:numPr>
          <w:ilvl w:val="0"/>
          <w:numId w:val="6"/>
        </w:numPr>
        <w:ind w:right="57" w:hanging="279"/>
      </w:pPr>
      <w:r>
        <w:t>Yönetim Kurulu ve Danışma Kurulu üyelerini toplantıya davet etmek,</w:t>
      </w:r>
    </w:p>
    <w:p w:rsidR="00875EE9" w:rsidRDefault="004F1905">
      <w:pPr>
        <w:ind w:left="1844" w:right="57"/>
      </w:pPr>
      <w:r>
        <w:t>ç) Yönetim Kurulu gündemini hazırlamak,</w:t>
      </w:r>
    </w:p>
    <w:p w:rsidR="00875EE9" w:rsidRDefault="004F1905">
      <w:pPr>
        <w:numPr>
          <w:ilvl w:val="0"/>
          <w:numId w:val="6"/>
        </w:numPr>
        <w:ind w:right="57" w:hanging="279"/>
      </w:pPr>
      <w:r>
        <w:t>Yönetim Kurulu kararlarının uygulanmasını sağlamak,</w:t>
      </w:r>
    </w:p>
    <w:p w:rsidR="00875EE9" w:rsidRDefault="004F1905">
      <w:pPr>
        <w:numPr>
          <w:ilvl w:val="0"/>
          <w:numId w:val="6"/>
        </w:numPr>
        <w:ind w:right="57" w:hanging="279"/>
      </w:pPr>
      <w:r>
        <w:t>Merkezin faaliyet raporunu ve bir sonraki yıla ait çalışma programını hazırlamak ve her</w:t>
      </w:r>
    </w:p>
    <w:p w:rsidR="00875EE9" w:rsidRDefault="004F1905">
      <w:pPr>
        <w:ind w:right="57"/>
      </w:pPr>
      <w:proofErr w:type="gramStart"/>
      <w:r>
        <w:t>yılın</w:t>
      </w:r>
      <w:proofErr w:type="gramEnd"/>
      <w:r>
        <w:t xml:space="preserve"> Aralık ayında Yönetim Kurulunda onaylanmış şekli ile Rektöre sunmak,</w:t>
      </w:r>
    </w:p>
    <w:p w:rsidR="00875EE9" w:rsidRDefault="004F1905">
      <w:pPr>
        <w:numPr>
          <w:ilvl w:val="0"/>
          <w:numId w:val="6"/>
        </w:numPr>
        <w:ind w:right="57" w:hanging="279"/>
      </w:pPr>
      <w:r>
        <w:t>Merkezin kısa, orta ve uzun dönemli amaç ve politikalarını ve bunlara dayalı eğitim ve</w:t>
      </w:r>
    </w:p>
    <w:p w:rsidR="00875EE9" w:rsidRDefault="004F1905">
      <w:pPr>
        <w:ind w:right="57"/>
      </w:pPr>
      <w:proofErr w:type="gramStart"/>
      <w:r>
        <w:t>araştırma</w:t>
      </w:r>
      <w:proofErr w:type="gramEnd"/>
      <w:r>
        <w:t xml:space="preserve"> ile ilgili plan ve programlarını hazırlamak ve Yönetim Kurulunun onayına sunmak,</w:t>
      </w:r>
    </w:p>
    <w:p w:rsidR="00875EE9" w:rsidRDefault="004F1905">
      <w:pPr>
        <w:numPr>
          <w:ilvl w:val="0"/>
          <w:numId w:val="6"/>
        </w:numPr>
        <w:ind w:right="57" w:hanging="279"/>
      </w:pPr>
      <w:r>
        <w:t>Merkezin çalışmalarının düzenli olarak yürütülmesini ve geliştirilmesini, ilgili birimler</w:t>
      </w:r>
    </w:p>
    <w:p w:rsidR="00875EE9" w:rsidRDefault="004F1905">
      <w:pPr>
        <w:ind w:right="57"/>
      </w:pPr>
      <w:proofErr w:type="gramStart"/>
      <w:r>
        <w:t>arasındaki</w:t>
      </w:r>
      <w:proofErr w:type="gramEnd"/>
      <w:r>
        <w:t xml:space="preserve"> koordinasyonu sağlamak,</w:t>
      </w:r>
    </w:p>
    <w:p w:rsidR="00875EE9" w:rsidRDefault="004F1905">
      <w:pPr>
        <w:ind w:left="1404" w:right="57" w:firstLine="444"/>
      </w:pPr>
      <w:r>
        <w:t>ğ) Merkez bünyesinde çalışan personelin görev ve sorumluluklarını belirlemek ve personelin görevlerini sorumlulukları çerçevesinde etik ve bilimsel kurallara, ilgili mevzuata ve bu</w:t>
      </w:r>
    </w:p>
    <w:p w:rsidR="00875EE9" w:rsidRDefault="004F1905">
      <w:pPr>
        <w:ind w:right="57"/>
      </w:pPr>
      <w:r>
        <w:t>Yönetmeliğe göre sürdürüp sürdürmediğini denetlemek,</w:t>
      </w:r>
    </w:p>
    <w:p w:rsidR="00875EE9" w:rsidRDefault="004F1905">
      <w:pPr>
        <w:numPr>
          <w:ilvl w:val="0"/>
          <w:numId w:val="6"/>
        </w:numPr>
        <w:ind w:right="57" w:hanging="279"/>
      </w:pPr>
      <w:r>
        <w:t>Mevzuatla verilen diğer görevleri yerine getirmek.</w:t>
      </w:r>
    </w:p>
    <w:p w:rsidR="00875EE9" w:rsidRDefault="004F1905">
      <w:pPr>
        <w:pStyle w:val="Balk1"/>
        <w:ind w:left="1844"/>
      </w:pPr>
      <w:r>
        <w:lastRenderedPageBreak/>
        <w:t>Yönetim Kurulu</w:t>
      </w:r>
    </w:p>
    <w:p w:rsidR="00875EE9" w:rsidRDefault="004F1905">
      <w:pPr>
        <w:ind w:left="1404" w:right="57" w:firstLine="447"/>
      </w:pPr>
      <w:r>
        <w:rPr>
          <w:b/>
        </w:rPr>
        <w:t>MADDE 10 –</w:t>
      </w:r>
      <w:r>
        <w:t xml:space="preserve"> (1) Yönetim Kurulu, Müdür, müdür yardımcıları ve Üniversitenin öğretim elemanları arasından Rektör tarafından görevlendirilen dört öğretim elemanı olmak üzere toplam yedi üyeden oluşur. Yönetim Kurulu üyelerinin görev süreleri üç yıldır. Görev süresi biten üyeler yeniden görevlendirilebilir. Üyeliğin herhangi bir nedenle boşalması halinde kalan süreyi tamamlamak üzere yeni üye görevlendirilebilir. Müdür, Yönetim Kurulunun başkanıdır.</w:t>
      </w:r>
    </w:p>
    <w:p w:rsidR="00875EE9" w:rsidRDefault="004F1905">
      <w:pPr>
        <w:ind w:left="1404" w:right="57" w:firstLine="444"/>
      </w:pPr>
      <w:r>
        <w:t>(2) Yönetim Kurulu, Müdürün daveti üzerine üye tam sayısının salt çoğunluğuyla toplanır ve kararlar toplantıya katılanların salt çoğunluğu ile alınır.</w:t>
      </w:r>
    </w:p>
    <w:p w:rsidR="00875EE9" w:rsidRDefault="004F1905">
      <w:pPr>
        <w:pStyle w:val="Balk1"/>
        <w:ind w:left="1844"/>
      </w:pPr>
      <w:r>
        <w:t>Yönetim Kurulunun görevleri</w:t>
      </w:r>
    </w:p>
    <w:p w:rsidR="00875EE9" w:rsidRDefault="004F1905">
      <w:pPr>
        <w:ind w:left="1844" w:right="57"/>
      </w:pPr>
      <w:r>
        <w:rPr>
          <w:b/>
        </w:rPr>
        <w:t>MADDE 11 –</w:t>
      </w:r>
      <w:r>
        <w:t xml:space="preserve"> (1) Yönetim Kurulunun görevleri şunlardır:</w:t>
      </w:r>
    </w:p>
    <w:p w:rsidR="00875EE9" w:rsidRDefault="004F1905">
      <w:pPr>
        <w:numPr>
          <w:ilvl w:val="0"/>
          <w:numId w:val="7"/>
        </w:numPr>
        <w:ind w:right="57" w:firstLine="444"/>
      </w:pPr>
      <w:r>
        <w:t>Merkezin çalışma ve yönetimi ile ilgili konularda kararlar almak,</w:t>
      </w:r>
    </w:p>
    <w:p w:rsidR="00875EE9" w:rsidRDefault="004F1905">
      <w:pPr>
        <w:numPr>
          <w:ilvl w:val="0"/>
          <w:numId w:val="7"/>
        </w:numPr>
        <w:ind w:right="57" w:firstLine="444"/>
      </w:pPr>
      <w:r>
        <w:t>Müdürün her faaliyet dönemi sonunda hazırlayacağı faaliyet raporunun düzenlenmesine ilişkin esasları tespit etmek, sunulan raporu değerlendirmek, bir sonraki döneme ait çalışma programını düzenlemek,</w:t>
      </w:r>
    </w:p>
    <w:p w:rsidR="00875EE9" w:rsidRDefault="004F1905">
      <w:pPr>
        <w:numPr>
          <w:ilvl w:val="0"/>
          <w:numId w:val="7"/>
        </w:numPr>
        <w:ind w:right="57" w:firstLine="444"/>
      </w:pPr>
      <w:r>
        <w:t>Merkezin faaliyet konularında işbirliği gerektiren çalışmaların yürütülebilmesi için gerekli</w:t>
      </w:r>
    </w:p>
    <w:p w:rsidR="00875EE9" w:rsidRDefault="004F1905">
      <w:pPr>
        <w:ind w:right="57"/>
      </w:pPr>
      <w:proofErr w:type="gramStart"/>
      <w:r>
        <w:t>düzenlemeleri</w:t>
      </w:r>
      <w:proofErr w:type="gramEnd"/>
      <w:r>
        <w:t xml:space="preserve"> yapmak,</w:t>
      </w:r>
    </w:p>
    <w:p w:rsidR="00875EE9" w:rsidRDefault="004F1905">
      <w:pPr>
        <w:ind w:left="1844" w:right="57"/>
      </w:pPr>
      <w:r>
        <w:t>ç) Merkezin çalışmaları için gerekli görülen çalışma grupları ve komisyonları kurmak ve</w:t>
      </w:r>
    </w:p>
    <w:p w:rsidR="00875EE9" w:rsidRDefault="004F1905">
      <w:pPr>
        <w:ind w:right="57"/>
      </w:pPr>
      <w:proofErr w:type="gramStart"/>
      <w:r>
        <w:t>bunların</w:t>
      </w:r>
      <w:proofErr w:type="gramEnd"/>
      <w:r>
        <w:t xml:space="preserve"> görevlerini düzenlemek,</w:t>
      </w:r>
    </w:p>
    <w:p w:rsidR="00875EE9" w:rsidRDefault="004F1905">
      <w:pPr>
        <w:numPr>
          <w:ilvl w:val="0"/>
          <w:numId w:val="7"/>
        </w:numPr>
        <w:ind w:right="57" w:firstLine="444"/>
      </w:pPr>
      <w:r>
        <w:t>Yurt içindeki ve yurt dışındaki kuruluşlarla ortaklaşa yürütülecek çalışmaların ilke, esas</w:t>
      </w:r>
    </w:p>
    <w:p w:rsidR="00875EE9" w:rsidRDefault="004F1905">
      <w:pPr>
        <w:ind w:right="57"/>
      </w:pPr>
      <w:proofErr w:type="gramStart"/>
      <w:r>
        <w:t>ve</w:t>
      </w:r>
      <w:proofErr w:type="gramEnd"/>
      <w:r>
        <w:t xml:space="preserve"> usullerini tespit etmek ve protokollerini hazırlamak,</w:t>
      </w:r>
    </w:p>
    <w:p w:rsidR="00875EE9" w:rsidRDefault="004F1905">
      <w:pPr>
        <w:numPr>
          <w:ilvl w:val="0"/>
          <w:numId w:val="7"/>
        </w:numPr>
        <w:ind w:right="57" w:firstLine="444"/>
      </w:pPr>
      <w:r>
        <w:t>Eğitim, uygulama, araştırma, danışmanlık ve yayım konularındaki talepleri değerlendirip</w:t>
      </w:r>
    </w:p>
    <w:p w:rsidR="00875EE9" w:rsidRDefault="004F1905">
      <w:pPr>
        <w:ind w:right="57"/>
      </w:pPr>
      <w:proofErr w:type="gramStart"/>
      <w:r>
        <w:t>karara</w:t>
      </w:r>
      <w:proofErr w:type="gramEnd"/>
      <w:r>
        <w:t xml:space="preserve"> bağlamak,</w:t>
      </w:r>
    </w:p>
    <w:p w:rsidR="00875EE9" w:rsidRDefault="004F1905">
      <w:pPr>
        <w:numPr>
          <w:ilvl w:val="0"/>
          <w:numId w:val="7"/>
        </w:numPr>
        <w:ind w:right="57" w:firstLine="444"/>
      </w:pPr>
      <w:r>
        <w:t>Gerekli hallerde Merkezin faaliyetleri ile ilgili geçici çalışma grupları kurmak,</w:t>
      </w:r>
    </w:p>
    <w:p w:rsidR="00875EE9" w:rsidRDefault="004F1905">
      <w:pPr>
        <w:numPr>
          <w:ilvl w:val="0"/>
          <w:numId w:val="7"/>
        </w:numPr>
        <w:ind w:right="57" w:firstLine="444"/>
      </w:pPr>
      <w:r>
        <w:t>Müdürün, Merkezin yönetimi ile ilgili getireceği konuları değerlendirerek karara</w:t>
      </w:r>
    </w:p>
    <w:p w:rsidR="00875EE9" w:rsidRDefault="004F1905">
      <w:pPr>
        <w:ind w:right="57"/>
      </w:pPr>
      <w:proofErr w:type="gramStart"/>
      <w:r>
        <w:t>bağlamak</w:t>
      </w:r>
      <w:proofErr w:type="gramEnd"/>
      <w:r>
        <w:t>,</w:t>
      </w:r>
    </w:p>
    <w:p w:rsidR="00875EE9" w:rsidRDefault="004F1905">
      <w:pPr>
        <w:ind w:left="1844" w:right="57"/>
      </w:pPr>
      <w:r>
        <w:t>ğ) Mevzuatla verilen diğer görevleri yerine getirmek.</w:t>
      </w:r>
    </w:p>
    <w:p w:rsidR="00875EE9" w:rsidRDefault="004F1905">
      <w:pPr>
        <w:pStyle w:val="Balk1"/>
        <w:ind w:left="1844"/>
      </w:pPr>
      <w:r>
        <w:t>Danışma Kurulu ve görevleri</w:t>
      </w:r>
    </w:p>
    <w:p w:rsidR="00875EE9" w:rsidRDefault="004F1905">
      <w:pPr>
        <w:ind w:left="1404" w:right="57" w:firstLine="447"/>
      </w:pPr>
      <w:r>
        <w:rPr>
          <w:b/>
        </w:rPr>
        <w:t xml:space="preserve">MADDE 12 – </w:t>
      </w:r>
      <w:r>
        <w:t>(1) Danışma Kurulu, Üniversiteye bağlı birimlerden veya dışarıdan Merkezin faaliyet alanları doğrultusunda çalışmalar yapan kişiler ve kurumların temsilcileri arasından Rektör tarafından görevlendirilecek dört kişi ve Müdürden oluşur. Müdür, Danışma Kurulunun başkanıdır. Danışma Kurulu üyelerinin görev süresi üç yıldır. Görev süresi biten üyeler yeniden görevlendirilebilir. Görev süresi bitmeden ayrılan üyelerin yerine kalan süreyi tamamlamak üzere aynı usulle yeni üyeler görevlendirilir.</w:t>
      </w:r>
    </w:p>
    <w:p w:rsidR="00875EE9" w:rsidRDefault="004F1905">
      <w:pPr>
        <w:numPr>
          <w:ilvl w:val="0"/>
          <w:numId w:val="8"/>
        </w:numPr>
        <w:ind w:right="57" w:firstLine="444"/>
      </w:pPr>
      <w:r>
        <w:t>Danışma Kurulu, yılda en az bir kez Müdürün daveti üzerine en az salt çoğunluk ile toplanır ve katılanların salt çoğunluğu ile karar alır.</w:t>
      </w:r>
    </w:p>
    <w:p w:rsidR="00875EE9" w:rsidRDefault="004F1905">
      <w:pPr>
        <w:numPr>
          <w:ilvl w:val="0"/>
          <w:numId w:val="8"/>
        </w:numPr>
        <w:ind w:right="57" w:firstLine="444"/>
      </w:pPr>
      <w:r>
        <w:t>Danışma Kurulu yıllık faaliyet raporu, çalışma programı, eğitim faaliyetleri, çalışmalar ile bir sonraki çalışma yılına ait programla ilgili Yönetim Kuruluna görüş bildirir ve önerilerde bulunur.</w:t>
      </w:r>
    </w:p>
    <w:p w:rsidR="00875EE9" w:rsidRDefault="004F1905">
      <w:pPr>
        <w:spacing w:after="0"/>
        <w:ind w:left="1781" w:right="17" w:hanging="10"/>
        <w:jc w:val="center"/>
      </w:pPr>
      <w:r>
        <w:rPr>
          <w:b/>
        </w:rPr>
        <w:t>DÖRDÜNCÜ BÖLÜM</w:t>
      </w:r>
    </w:p>
    <w:p w:rsidR="00875EE9" w:rsidRDefault="004F1905">
      <w:pPr>
        <w:spacing w:after="0"/>
        <w:ind w:left="1781" w:right="0" w:hanging="10"/>
        <w:jc w:val="center"/>
      </w:pPr>
      <w:r>
        <w:rPr>
          <w:b/>
        </w:rPr>
        <w:t>Çeşitli ve Son Hükümler</w:t>
      </w:r>
    </w:p>
    <w:p w:rsidR="00875EE9" w:rsidRDefault="004F1905">
      <w:pPr>
        <w:pStyle w:val="Balk1"/>
        <w:ind w:left="1844"/>
      </w:pPr>
      <w:r>
        <w:t>Personel ihtiyacı</w:t>
      </w:r>
    </w:p>
    <w:p w:rsidR="00875EE9" w:rsidRDefault="004F1905">
      <w:pPr>
        <w:spacing w:after="12" w:line="219" w:lineRule="auto"/>
        <w:ind w:left="1852" w:right="0" w:firstLine="0"/>
        <w:jc w:val="left"/>
      </w:pPr>
      <w:r>
        <w:rPr>
          <w:b/>
        </w:rPr>
        <w:t>MADDE 13 –</w:t>
      </w:r>
      <w:r>
        <w:t xml:space="preserve"> (1) Merkezin akademik, teknik ve idari personel ihtiyacı, Müdürün önerisi üzerine 2547 sayılı Kanunun 13 üncü maddesi uyarınca Rektör tarafından görevlendirilecek personel tarafından karşılanır.</w:t>
      </w:r>
    </w:p>
    <w:p w:rsidR="00875EE9" w:rsidRDefault="004F1905">
      <w:pPr>
        <w:pStyle w:val="Balk1"/>
        <w:ind w:left="1844"/>
      </w:pPr>
      <w:r>
        <w:t>Harcama yetkilisi</w:t>
      </w:r>
    </w:p>
    <w:p w:rsidR="00875EE9" w:rsidRDefault="004F1905">
      <w:pPr>
        <w:ind w:left="1404" w:right="57" w:firstLine="447"/>
      </w:pPr>
      <w:r>
        <w:rPr>
          <w:b/>
        </w:rPr>
        <w:t>MADDE 14 –</w:t>
      </w:r>
      <w:r>
        <w:t xml:space="preserve"> (1) Merkezin harcama yetkilisi Rektördür. Rektör bu yetkisini gerektiğinde Müdüre devredebilir.</w:t>
      </w:r>
    </w:p>
    <w:p w:rsidR="00875EE9" w:rsidRDefault="004F1905">
      <w:pPr>
        <w:pStyle w:val="Balk1"/>
        <w:ind w:left="1844"/>
      </w:pPr>
      <w:r>
        <w:t>Hüküm bulunmayan haller</w:t>
      </w:r>
    </w:p>
    <w:p w:rsidR="00875EE9" w:rsidRDefault="004F1905">
      <w:pPr>
        <w:ind w:left="1404" w:right="57" w:firstLine="447"/>
      </w:pPr>
      <w:r>
        <w:rPr>
          <w:b/>
        </w:rPr>
        <w:t>MADDE 15 –</w:t>
      </w:r>
      <w:r>
        <w:t xml:space="preserve"> (1) Bu Yönetmelikte hüküm bulunmayan hallerde ilgili diğer mevzuat hükümleri ile Senato kararları uygulanır.</w:t>
      </w:r>
    </w:p>
    <w:p w:rsidR="00875EE9" w:rsidRDefault="004F1905">
      <w:pPr>
        <w:spacing w:after="0"/>
        <w:ind w:left="1844" w:right="0" w:hanging="10"/>
        <w:jc w:val="left"/>
      </w:pPr>
      <w:r>
        <w:rPr>
          <w:b/>
        </w:rPr>
        <w:t>Yürürlük</w:t>
      </w:r>
    </w:p>
    <w:p w:rsidR="00875EE9" w:rsidRDefault="004F1905">
      <w:pPr>
        <w:ind w:left="1844" w:right="57"/>
      </w:pPr>
      <w:r>
        <w:rPr>
          <w:b/>
        </w:rPr>
        <w:t xml:space="preserve">MADDE 16 – </w:t>
      </w:r>
      <w:r>
        <w:t>(1) Bu Yönetmelik yayımı tarihinde yürürlüğe girer.</w:t>
      </w:r>
    </w:p>
    <w:p w:rsidR="00875EE9" w:rsidRDefault="004F1905">
      <w:pPr>
        <w:pStyle w:val="Balk1"/>
        <w:ind w:left="1844"/>
      </w:pPr>
      <w:r>
        <w:t>Yürütme</w:t>
      </w:r>
    </w:p>
    <w:p w:rsidR="00875EE9" w:rsidRDefault="004F1905">
      <w:pPr>
        <w:ind w:left="1844" w:right="57"/>
      </w:pPr>
      <w:r>
        <w:rPr>
          <w:b/>
        </w:rPr>
        <w:t>MADDE 17 –</w:t>
      </w:r>
      <w:r>
        <w:t xml:space="preserve"> (1) Bu Yönetmelik hükümlerini Pamukkale Üniversitesi Rektörü yürütür.</w:t>
      </w:r>
    </w:p>
    <w:p w:rsidR="00875EE9" w:rsidRDefault="004F1905">
      <w:pPr>
        <w:spacing w:after="0"/>
        <w:ind w:left="1849" w:right="0" w:firstLine="0"/>
        <w:jc w:val="left"/>
      </w:pPr>
      <w:r>
        <w:rPr>
          <w:b/>
        </w:rPr>
        <w:lastRenderedPageBreak/>
        <w:t xml:space="preserve"> </w:t>
      </w:r>
    </w:p>
    <w:p w:rsidR="00875EE9" w:rsidRDefault="004F1905">
      <w:pPr>
        <w:spacing w:after="0"/>
        <w:ind w:left="0" w:right="0" w:firstLine="0"/>
        <w:jc w:val="left"/>
      </w:pPr>
      <w:r>
        <w:t xml:space="preserve"> </w:t>
      </w:r>
    </w:p>
    <w:p w:rsidR="00875EE9" w:rsidRDefault="004F1905">
      <w:pPr>
        <w:spacing w:after="0"/>
        <w:ind w:left="0" w:right="0" w:firstLine="0"/>
        <w:jc w:val="left"/>
      </w:pPr>
      <w:r>
        <w:t xml:space="preserve"> </w:t>
      </w:r>
    </w:p>
    <w:sectPr w:rsidR="00875EE9">
      <w:pgSz w:w="11920" w:h="16840"/>
      <w:pgMar w:top="585" w:right="2465" w:bottom="646" w:left="111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058C5"/>
    <w:multiLevelType w:val="hybridMultilevel"/>
    <w:tmpl w:val="9892A660"/>
    <w:lvl w:ilvl="0" w:tplc="366898DA">
      <w:start w:val="2"/>
      <w:numFmt w:val="lowerLetter"/>
      <w:lvlText w:val="%1)"/>
      <w:lvlJc w:val="left"/>
      <w:pPr>
        <w:ind w:left="2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82EEFC2">
      <w:start w:val="1"/>
      <w:numFmt w:val="lowerLetter"/>
      <w:lvlText w:val="%2"/>
      <w:lvlJc w:val="left"/>
      <w:pPr>
        <w:ind w:left="1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A703F02">
      <w:start w:val="1"/>
      <w:numFmt w:val="lowerRoman"/>
      <w:lvlText w:val="%3"/>
      <w:lvlJc w:val="left"/>
      <w:pPr>
        <w:ind w:left="2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D70627E">
      <w:start w:val="1"/>
      <w:numFmt w:val="decimal"/>
      <w:lvlText w:val="%4"/>
      <w:lvlJc w:val="left"/>
      <w:pPr>
        <w:ind w:left="2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D1E2E36">
      <w:start w:val="1"/>
      <w:numFmt w:val="lowerLetter"/>
      <w:lvlText w:val="%5"/>
      <w:lvlJc w:val="left"/>
      <w:pPr>
        <w:ind w:left="3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1C0345A">
      <w:start w:val="1"/>
      <w:numFmt w:val="lowerRoman"/>
      <w:lvlText w:val="%6"/>
      <w:lvlJc w:val="left"/>
      <w:pPr>
        <w:ind w:left="4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F0F90E">
      <w:start w:val="1"/>
      <w:numFmt w:val="decimal"/>
      <w:lvlText w:val="%7"/>
      <w:lvlJc w:val="left"/>
      <w:pPr>
        <w:ind w:left="5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9E68714">
      <w:start w:val="1"/>
      <w:numFmt w:val="lowerLetter"/>
      <w:lvlText w:val="%8"/>
      <w:lvlJc w:val="left"/>
      <w:pPr>
        <w:ind w:left="58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6AE6AA">
      <w:start w:val="1"/>
      <w:numFmt w:val="lowerRoman"/>
      <w:lvlText w:val="%9"/>
      <w:lvlJc w:val="left"/>
      <w:pPr>
        <w:ind w:left="6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0377AA2"/>
    <w:multiLevelType w:val="hybridMultilevel"/>
    <w:tmpl w:val="BC9A00D0"/>
    <w:lvl w:ilvl="0" w:tplc="9BD48B82">
      <w:start w:val="1"/>
      <w:numFmt w:val="lowerLetter"/>
      <w:lvlText w:val="%1)"/>
      <w:lvlJc w:val="left"/>
      <w:pPr>
        <w:ind w:left="18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876D91C">
      <w:start w:val="1"/>
      <w:numFmt w:val="lowerLetter"/>
      <w:lvlText w:val="%2"/>
      <w:lvlJc w:val="left"/>
      <w:pPr>
        <w:ind w:left="1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1A9A42">
      <w:start w:val="1"/>
      <w:numFmt w:val="lowerRoman"/>
      <w:lvlText w:val="%3"/>
      <w:lvlJc w:val="left"/>
      <w:pPr>
        <w:ind w:left="2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1C7DE6">
      <w:start w:val="1"/>
      <w:numFmt w:val="decimal"/>
      <w:lvlText w:val="%4"/>
      <w:lvlJc w:val="left"/>
      <w:pPr>
        <w:ind w:left="2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4B254AC">
      <w:start w:val="1"/>
      <w:numFmt w:val="lowerLetter"/>
      <w:lvlText w:val="%5"/>
      <w:lvlJc w:val="left"/>
      <w:pPr>
        <w:ind w:left="3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8CE730">
      <w:start w:val="1"/>
      <w:numFmt w:val="lowerRoman"/>
      <w:lvlText w:val="%6"/>
      <w:lvlJc w:val="left"/>
      <w:pPr>
        <w:ind w:left="4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3C87122">
      <w:start w:val="1"/>
      <w:numFmt w:val="decimal"/>
      <w:lvlText w:val="%7"/>
      <w:lvlJc w:val="left"/>
      <w:pPr>
        <w:ind w:left="5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8ABE98">
      <w:start w:val="1"/>
      <w:numFmt w:val="lowerLetter"/>
      <w:lvlText w:val="%8"/>
      <w:lvlJc w:val="left"/>
      <w:pPr>
        <w:ind w:left="58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3226C36">
      <w:start w:val="1"/>
      <w:numFmt w:val="lowerRoman"/>
      <w:lvlText w:val="%9"/>
      <w:lvlJc w:val="left"/>
      <w:pPr>
        <w:ind w:left="6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65933E5"/>
    <w:multiLevelType w:val="hybridMultilevel"/>
    <w:tmpl w:val="25D6E3C2"/>
    <w:lvl w:ilvl="0" w:tplc="2D02EFAE">
      <w:start w:val="1"/>
      <w:numFmt w:val="lowerLetter"/>
      <w:lvlText w:val="%1)"/>
      <w:lvlJc w:val="left"/>
      <w:pPr>
        <w:ind w:left="2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482A8AA">
      <w:start w:val="1"/>
      <w:numFmt w:val="lowerLetter"/>
      <w:lvlText w:val="%2"/>
      <w:lvlJc w:val="left"/>
      <w:pPr>
        <w:ind w:left="1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063DE2">
      <w:start w:val="1"/>
      <w:numFmt w:val="lowerRoman"/>
      <w:lvlText w:val="%3"/>
      <w:lvlJc w:val="left"/>
      <w:pPr>
        <w:ind w:left="2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B18ADB4">
      <w:start w:val="1"/>
      <w:numFmt w:val="decimal"/>
      <w:lvlText w:val="%4"/>
      <w:lvlJc w:val="left"/>
      <w:pPr>
        <w:ind w:left="2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A676B4">
      <w:start w:val="1"/>
      <w:numFmt w:val="lowerLetter"/>
      <w:lvlText w:val="%5"/>
      <w:lvlJc w:val="left"/>
      <w:pPr>
        <w:ind w:left="3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55437CC">
      <w:start w:val="1"/>
      <w:numFmt w:val="lowerRoman"/>
      <w:lvlText w:val="%6"/>
      <w:lvlJc w:val="left"/>
      <w:pPr>
        <w:ind w:left="4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80CA2AA">
      <w:start w:val="1"/>
      <w:numFmt w:val="decimal"/>
      <w:lvlText w:val="%7"/>
      <w:lvlJc w:val="left"/>
      <w:pPr>
        <w:ind w:left="5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B1887D6">
      <w:start w:val="1"/>
      <w:numFmt w:val="lowerLetter"/>
      <w:lvlText w:val="%8"/>
      <w:lvlJc w:val="left"/>
      <w:pPr>
        <w:ind w:left="58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3E5F1E">
      <w:start w:val="1"/>
      <w:numFmt w:val="lowerRoman"/>
      <w:lvlText w:val="%9"/>
      <w:lvlJc w:val="left"/>
      <w:pPr>
        <w:ind w:left="6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9895B50"/>
    <w:multiLevelType w:val="hybridMultilevel"/>
    <w:tmpl w:val="87D8CF3E"/>
    <w:lvl w:ilvl="0" w:tplc="F2E84768">
      <w:start w:val="2"/>
      <w:numFmt w:val="decimal"/>
      <w:lvlText w:val="(%1)"/>
      <w:lvlJc w:val="left"/>
      <w:pPr>
        <w:ind w:left="1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9342436">
      <w:start w:val="1"/>
      <w:numFmt w:val="lowerLetter"/>
      <w:lvlText w:val="%2"/>
      <w:lvlJc w:val="left"/>
      <w:pPr>
        <w:ind w:left="1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6CEFBC">
      <w:start w:val="1"/>
      <w:numFmt w:val="lowerRoman"/>
      <w:lvlText w:val="%3"/>
      <w:lvlJc w:val="left"/>
      <w:pPr>
        <w:ind w:left="2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8291AA">
      <w:start w:val="1"/>
      <w:numFmt w:val="decimal"/>
      <w:lvlText w:val="%4"/>
      <w:lvlJc w:val="left"/>
      <w:pPr>
        <w:ind w:left="2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F4CD9C">
      <w:start w:val="1"/>
      <w:numFmt w:val="lowerLetter"/>
      <w:lvlText w:val="%5"/>
      <w:lvlJc w:val="left"/>
      <w:pPr>
        <w:ind w:left="3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D80063A">
      <w:start w:val="1"/>
      <w:numFmt w:val="lowerRoman"/>
      <w:lvlText w:val="%6"/>
      <w:lvlJc w:val="left"/>
      <w:pPr>
        <w:ind w:left="4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220574">
      <w:start w:val="1"/>
      <w:numFmt w:val="decimal"/>
      <w:lvlText w:val="%7"/>
      <w:lvlJc w:val="left"/>
      <w:pPr>
        <w:ind w:left="5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EAE6F74">
      <w:start w:val="1"/>
      <w:numFmt w:val="lowerLetter"/>
      <w:lvlText w:val="%8"/>
      <w:lvlJc w:val="left"/>
      <w:pPr>
        <w:ind w:left="58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E48516">
      <w:start w:val="1"/>
      <w:numFmt w:val="lowerRoman"/>
      <w:lvlText w:val="%9"/>
      <w:lvlJc w:val="left"/>
      <w:pPr>
        <w:ind w:left="6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22648FF"/>
    <w:multiLevelType w:val="hybridMultilevel"/>
    <w:tmpl w:val="66F2CC12"/>
    <w:lvl w:ilvl="0" w:tplc="42A4EFA0">
      <w:start w:val="2"/>
      <w:numFmt w:val="decimal"/>
      <w:lvlText w:val="(%1)"/>
      <w:lvlJc w:val="left"/>
      <w:pPr>
        <w:ind w:left="1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262A30">
      <w:start w:val="1"/>
      <w:numFmt w:val="lowerLetter"/>
      <w:lvlText w:val="%2"/>
      <w:lvlJc w:val="left"/>
      <w:pPr>
        <w:ind w:left="1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14A5FC">
      <w:start w:val="1"/>
      <w:numFmt w:val="lowerRoman"/>
      <w:lvlText w:val="%3"/>
      <w:lvlJc w:val="left"/>
      <w:pPr>
        <w:ind w:left="2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0C33C2">
      <w:start w:val="1"/>
      <w:numFmt w:val="decimal"/>
      <w:lvlText w:val="%4"/>
      <w:lvlJc w:val="left"/>
      <w:pPr>
        <w:ind w:left="2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480A66">
      <w:start w:val="1"/>
      <w:numFmt w:val="lowerLetter"/>
      <w:lvlText w:val="%5"/>
      <w:lvlJc w:val="left"/>
      <w:pPr>
        <w:ind w:left="3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D2C452E">
      <w:start w:val="1"/>
      <w:numFmt w:val="lowerRoman"/>
      <w:lvlText w:val="%6"/>
      <w:lvlJc w:val="left"/>
      <w:pPr>
        <w:ind w:left="4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3AE628C">
      <w:start w:val="1"/>
      <w:numFmt w:val="decimal"/>
      <w:lvlText w:val="%7"/>
      <w:lvlJc w:val="left"/>
      <w:pPr>
        <w:ind w:left="5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79A8426">
      <w:start w:val="1"/>
      <w:numFmt w:val="lowerLetter"/>
      <w:lvlText w:val="%8"/>
      <w:lvlJc w:val="left"/>
      <w:pPr>
        <w:ind w:left="58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901EA0">
      <w:start w:val="1"/>
      <w:numFmt w:val="lowerRoman"/>
      <w:lvlText w:val="%9"/>
      <w:lvlJc w:val="left"/>
      <w:pPr>
        <w:ind w:left="6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22B70FF"/>
    <w:multiLevelType w:val="hybridMultilevel"/>
    <w:tmpl w:val="70887B46"/>
    <w:lvl w:ilvl="0" w:tplc="D318CCF0">
      <w:start w:val="1"/>
      <w:numFmt w:val="lowerLetter"/>
      <w:lvlText w:val="%1)"/>
      <w:lvlJc w:val="left"/>
      <w:pPr>
        <w:ind w:left="18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6E858A2">
      <w:start w:val="1"/>
      <w:numFmt w:val="lowerLetter"/>
      <w:lvlText w:val="%2"/>
      <w:lvlJc w:val="left"/>
      <w:pPr>
        <w:ind w:left="1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96C3080">
      <w:start w:val="1"/>
      <w:numFmt w:val="lowerRoman"/>
      <w:lvlText w:val="%3"/>
      <w:lvlJc w:val="left"/>
      <w:pPr>
        <w:ind w:left="2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D36CF48">
      <w:start w:val="1"/>
      <w:numFmt w:val="decimal"/>
      <w:lvlText w:val="%4"/>
      <w:lvlJc w:val="left"/>
      <w:pPr>
        <w:ind w:left="2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6C9032">
      <w:start w:val="1"/>
      <w:numFmt w:val="lowerLetter"/>
      <w:lvlText w:val="%5"/>
      <w:lvlJc w:val="left"/>
      <w:pPr>
        <w:ind w:left="3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B0F004">
      <w:start w:val="1"/>
      <w:numFmt w:val="lowerRoman"/>
      <w:lvlText w:val="%6"/>
      <w:lvlJc w:val="left"/>
      <w:pPr>
        <w:ind w:left="4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3AE98D8">
      <w:start w:val="1"/>
      <w:numFmt w:val="decimal"/>
      <w:lvlText w:val="%7"/>
      <w:lvlJc w:val="left"/>
      <w:pPr>
        <w:ind w:left="5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A47F12">
      <w:start w:val="1"/>
      <w:numFmt w:val="lowerLetter"/>
      <w:lvlText w:val="%8"/>
      <w:lvlJc w:val="left"/>
      <w:pPr>
        <w:ind w:left="58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FA22AC">
      <w:start w:val="1"/>
      <w:numFmt w:val="lowerRoman"/>
      <w:lvlText w:val="%9"/>
      <w:lvlJc w:val="left"/>
      <w:pPr>
        <w:ind w:left="6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B8954E7"/>
    <w:multiLevelType w:val="hybridMultilevel"/>
    <w:tmpl w:val="B3FA1ECE"/>
    <w:lvl w:ilvl="0" w:tplc="2DE41036">
      <w:start w:val="1"/>
      <w:numFmt w:val="lowerLetter"/>
      <w:lvlText w:val="%1)"/>
      <w:lvlJc w:val="left"/>
      <w:pPr>
        <w:ind w:left="20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FC9368">
      <w:start w:val="1"/>
      <w:numFmt w:val="lowerLetter"/>
      <w:lvlText w:val="%2"/>
      <w:lvlJc w:val="left"/>
      <w:pPr>
        <w:ind w:left="1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1872D0">
      <w:start w:val="1"/>
      <w:numFmt w:val="lowerRoman"/>
      <w:lvlText w:val="%3"/>
      <w:lvlJc w:val="left"/>
      <w:pPr>
        <w:ind w:left="2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0E56F0">
      <w:start w:val="1"/>
      <w:numFmt w:val="decimal"/>
      <w:lvlText w:val="%4"/>
      <w:lvlJc w:val="left"/>
      <w:pPr>
        <w:ind w:left="2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2C7180">
      <w:start w:val="1"/>
      <w:numFmt w:val="lowerLetter"/>
      <w:lvlText w:val="%5"/>
      <w:lvlJc w:val="left"/>
      <w:pPr>
        <w:ind w:left="3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EC0C8DC">
      <w:start w:val="1"/>
      <w:numFmt w:val="lowerRoman"/>
      <w:lvlText w:val="%6"/>
      <w:lvlJc w:val="left"/>
      <w:pPr>
        <w:ind w:left="4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42C0708">
      <w:start w:val="1"/>
      <w:numFmt w:val="decimal"/>
      <w:lvlText w:val="%7"/>
      <w:lvlJc w:val="left"/>
      <w:pPr>
        <w:ind w:left="5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5EAFBDE">
      <w:start w:val="1"/>
      <w:numFmt w:val="lowerLetter"/>
      <w:lvlText w:val="%8"/>
      <w:lvlJc w:val="left"/>
      <w:pPr>
        <w:ind w:left="58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450C552">
      <w:start w:val="1"/>
      <w:numFmt w:val="lowerRoman"/>
      <w:lvlText w:val="%9"/>
      <w:lvlJc w:val="left"/>
      <w:pPr>
        <w:ind w:left="6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CCA47DE"/>
    <w:multiLevelType w:val="hybridMultilevel"/>
    <w:tmpl w:val="950A471C"/>
    <w:lvl w:ilvl="0" w:tplc="6360D804">
      <w:start w:val="1"/>
      <w:numFmt w:val="lowerLetter"/>
      <w:lvlText w:val="%1)"/>
      <w:lvlJc w:val="left"/>
      <w:pPr>
        <w:ind w:left="20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A724F86">
      <w:start w:val="1"/>
      <w:numFmt w:val="lowerLetter"/>
      <w:lvlText w:val="%2"/>
      <w:lvlJc w:val="left"/>
      <w:pPr>
        <w:ind w:left="1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2928C0C">
      <w:start w:val="1"/>
      <w:numFmt w:val="lowerRoman"/>
      <w:lvlText w:val="%3"/>
      <w:lvlJc w:val="left"/>
      <w:pPr>
        <w:ind w:left="2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7090E8">
      <w:start w:val="1"/>
      <w:numFmt w:val="decimal"/>
      <w:lvlText w:val="%4"/>
      <w:lvlJc w:val="left"/>
      <w:pPr>
        <w:ind w:left="2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0CEBD2A">
      <w:start w:val="1"/>
      <w:numFmt w:val="lowerLetter"/>
      <w:lvlText w:val="%5"/>
      <w:lvlJc w:val="left"/>
      <w:pPr>
        <w:ind w:left="3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ADE384A">
      <w:start w:val="1"/>
      <w:numFmt w:val="lowerRoman"/>
      <w:lvlText w:val="%6"/>
      <w:lvlJc w:val="left"/>
      <w:pPr>
        <w:ind w:left="4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0AEE6C">
      <w:start w:val="1"/>
      <w:numFmt w:val="decimal"/>
      <w:lvlText w:val="%7"/>
      <w:lvlJc w:val="left"/>
      <w:pPr>
        <w:ind w:left="5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122D80">
      <w:start w:val="1"/>
      <w:numFmt w:val="lowerLetter"/>
      <w:lvlText w:val="%8"/>
      <w:lvlJc w:val="left"/>
      <w:pPr>
        <w:ind w:left="58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BEC524">
      <w:start w:val="1"/>
      <w:numFmt w:val="lowerRoman"/>
      <w:lvlText w:val="%9"/>
      <w:lvlJc w:val="left"/>
      <w:pPr>
        <w:ind w:left="6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2"/>
  </w:num>
  <w:num w:numId="3">
    <w:abstractNumId w:val="1"/>
  </w:num>
  <w:num w:numId="4">
    <w:abstractNumId w:val="6"/>
  </w:num>
  <w:num w:numId="5">
    <w:abstractNumId w:val="3"/>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EE9"/>
    <w:rsid w:val="004F1905"/>
    <w:rsid w:val="006D0CB7"/>
    <w:rsid w:val="00875E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A79BE3-CB1A-4F8A-AAC1-2C3C84E0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ind w:left="1411" w:right="24" w:hanging="7"/>
      <w:jc w:val="both"/>
    </w:pPr>
    <w:rPr>
      <w:rFonts w:ascii="Times New Roman" w:eastAsia="Times New Roman" w:hAnsi="Times New Roman" w:cs="Times New Roman"/>
      <w:color w:val="000000"/>
      <w:sz w:val="20"/>
    </w:rPr>
  </w:style>
  <w:style w:type="paragraph" w:styleId="Balk1">
    <w:name w:val="heading 1"/>
    <w:next w:val="Normal"/>
    <w:link w:val="Balk1Char"/>
    <w:uiPriority w:val="9"/>
    <w:unhideWhenUsed/>
    <w:qFormat/>
    <w:pPr>
      <w:keepNext/>
      <w:keepLines/>
      <w:spacing w:after="0"/>
      <w:ind w:left="2069" w:hanging="10"/>
      <w:outlineLvl w:val="0"/>
    </w:pPr>
    <w:rPr>
      <w:rFonts w:ascii="Times New Roman" w:eastAsia="Times New Roman" w:hAnsi="Times New Roman" w:cs="Times New Roman"/>
      <w:b/>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7849</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Cennet ERDEM</dc:creator>
  <cp:keywords/>
  <cp:lastModifiedBy>Cennet ERDEM</cp:lastModifiedBy>
  <cp:revision>3</cp:revision>
  <dcterms:created xsi:type="dcterms:W3CDTF">2023-12-04T08:08:00Z</dcterms:created>
  <dcterms:modified xsi:type="dcterms:W3CDTF">2023-12-04T08:08:00Z</dcterms:modified>
</cp:coreProperties>
</file>