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g"/>
  <Override PartName="/word/styles.xml" ContentType="application/vnd.openxmlformats-officedocument.wordprocessingml.styles+xml"/>
  <Override PartName="/word/settings.xml" ContentType="application/vnd.openxmlformats-officedocument.wordprocessingml.settings+xml"/>
  <Override PartName="/word/footer0.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7"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28"/>
        <w:gridCol w:w="1417"/>
        <w:gridCol w:w="54"/>
        <w:gridCol w:w="25"/>
        <w:gridCol w:w="9734"/>
      </w:tblGrid>
      <w:tr>
        <w:trPr>
          <w:trHeight w:val="18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restart"/>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900000" cy="900000"/>
                  <wp:docPr id="0" name="img3.jpg"/>
                  <a:graphic>
                    <a:graphicData uri="http://schemas.openxmlformats.org/drawingml/2006/picture">
                      <pic:pic>
                        <pic:nvPicPr>
                          <pic:cNvPr id="1" name="img3.jpg"/>
                          <pic:cNvPicPr/>
                        </pic:nvPicPr>
                        <pic:blipFill>
                          <a:blip r:embed="rId6" cstate="print"/>
                          <a:stretch>
                            <a:fillRect r="0" b="0"/>
                          </a:stretch>
                        </pic:blipFill>
                        <pic:spPr>
                          <a:xfrm>
                            <a:off x="0" y="0"/>
                            <a:ext cx="900000" cy="900000"/>
                          </a:xfrm>
                          <a:prstGeom prst="rect">
                            <a:avLst/>
                          </a:prstGeom>
                        </pic:spPr>
                      </pic:pic>
                    </a:graphicData>
                  </a:graphic>
                </wp:inline>
              </w:drawing>
            </w: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rHeight w:val="51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tbl>
            <w:tblPr>
              <w:tblCellMar>
                <w:top w:w="0" w:type="dxa"/>
                <w:left w:w="0" w:type="dxa"/>
                <w:bottom w:w="0" w:type="dxa"/>
                <w:right w:w="0" w:type="dxa"/>
              </w:tblCellMar>
            </w:tblPr>
            <w:tblGrid>
              <w:gridCol w:w="9734"/>
            </w:tblGrid>
            <w:tr>
              <w:trPr>
                <w:trHeight w:val="439" w:hRule="atLeast"/>
              </w:trPr>
              <w:tc>
                <w:tcPr>
                  <w:tcW w:w="973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b/>
                      <w:color w:val="800000"/>
                      <w:sz w:val="20"/>
                    </w:rPr>
                    <w:t xml:space="preserve">SAĞLIK BİLİMLERİ FAKÜLTESİ</w:t>
                  </w:r>
                  <w:r>
                    <w:rPr>
                      <w:rFonts w:ascii="Arial" w:hAnsi="Arial" w:eastAsia="Arial"/>
                      <w:b/>
                      <w:color w:val="800000"/>
                      <w:sz w:val="20"/>
                    </w:rPr>
                    <w:br/>
                  </w:r>
                </w:p>
                <w:p>
                  <w:pPr>
                    <w:spacing w:after="0" w:line="240" w:lineRule="auto"/>
                    <w:jc w:val="center"/>
                  </w:pPr>
                  <w:r>
                    <w:rPr>
                      <w:rFonts w:ascii="Arial" w:hAnsi="Arial" w:eastAsia="Arial"/>
                      <w:b/>
                      <w:color w:val="800000"/>
                      <w:sz w:val="20"/>
                    </w:rPr>
                    <w:t xml:space="preserve">TOPLANTI TUTANAĞI</w:t>
                  </w:r>
                </w:p>
              </w:tc>
            </w:tr>
          </w:tbl>
          <w:p>
            <w:pPr>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68"/>
              <w:gridCol w:w="3425"/>
              <w:gridCol w:w="3066"/>
            </w:tblGrid>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No</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Tarihi</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Saati</w:t>
                  </w:r>
                </w:p>
              </w:tc>
            </w:tr>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2024/14</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18"/>
                    </w:rPr>
                    <w:t xml:space="preserve">31.05.2024</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15:30</w:t>
                  </w:r>
                </w:p>
              </w:tc>
            </w:tr>
          </w:tbl>
          <w:p>
            <w:pPr>
              <w:spacing w:after="0" w:line="240" w:lineRule="auto"/>
            </w:pPr>
          </w:p>
        </w:tc>
        <w:tc>
          <w:tcPr>
            <w:tcW w:w="9734" w:type="dxa"/>
            <w:hMerge w:val="continue"/>
          </w:tcPr>
          <w:p>
            <w:pPr>
              <w:pStyle w:val="EmptyCellLayoutStyle"/>
              <w:spacing w:after="0" w:line="240" w:lineRule="auto"/>
            </w:pPr>
          </w:p>
        </w:tc>
      </w:tr>
      <w:tr>
        <w:trPr>
          <w:trHeight w:val="261"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2435"/>
              <w:gridCol w:w="8796"/>
            </w:tblGrid>
            <w:tr>
              <w:trPr>
                <w:trHeight w:val="262" w:hRule="atLeast"/>
              </w:trPr>
              <w:tc>
                <w:tcPr>
                  <w:tcW w:w="2435" w:type="dxa"/>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Düzenleyen</w:t>
                  </w:r>
                </w:p>
              </w:tc>
              <w:tc>
                <w:tcPr>
                  <w:tcW w:w="8796" w:type="dxa"/>
                  <w:tcBorders>
                    <w:top w:val="single" w:color="000000" w:sz="7"/>
                    <w:left w:val="single" w:color="000000" w:sz="7"/>
                    <w:bottom w:val="nil"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KALİTE KOMİSYONU</w:t>
                  </w:r>
                </w:p>
              </w:tc>
            </w:tr>
            <w:tr>
              <w:trPr>
                <w:trHeight w:val="262" w:hRule="atLeast"/>
              </w:trPr>
              <w:tc>
                <w:tcPr>
                  <w:tcW w:w="2435" w:type="dxa"/>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Yeri</w:t>
                  </w:r>
                </w:p>
              </w:tc>
              <w:tc>
                <w:tcPr>
                  <w:tcW w:w="879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PAU SBF Toplantı Salonu</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1. TOPLANTIYA DAVET EDİLENLER</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Hatice KARADAM, Prof. Dr. Asiye KARTAL, Prof. Dr. Türkan TURAN, Prof. Dr. Bengü ÇETİNKAYA, Prof. Dr. Sevgi ÖZKAN, Prof. Dr. Pınar SERÇEKUŞ AK, Doç. Dr. Çiğdem GÖK, Doç. Dr. Gülcan BAKAN, Doç. Dr. Gülay TAŞDEMİR, Doç. Dr. Sebahat ALTUNDAĞ, Doç. Dr. Elif ULUDAĞ, Doç. Dr. Fadime Hatice İNCİ, Doç. Dr. Ganime CAN GÜR, Doç. Dr. Hatice BAŞKALE, Doç. Dr. İlgün ÖZEN ÇINAR, Doç. Dr. Gülbahar KORKMAZ ASLAN, Doç. Dr. Şefika Tuğba YANGÖZ, Doç. Dr. Sümeyye ARSLAN, Doç. Dr. Sibel Serap CEYLAN, Doç. Dr. Fadime GÖK, Dr. Öğr. Üyesi Gülbanu ZENCİR, Dr. Öğr. Üyesi Ayla YAVUZ KARAMANOĞLU, Dr. Öğr. Üyesi Figen TÜRK DÜDÜKCÜ, Dr. Öğr. Üyesi Fatma ÖZGÜN ÖZTÜRK, Dr. Öğr. Üyesi Nazan KOŞTU, Dr. Öğr. Üyesi Sinem GÖRAL TÜRKCÜ, Öğr. Gör. Özlem FİDAN, Öğr. Gör. Arife AZAK, Öğr. Gör. Arife ŞANLIALP ZEYREK, Öğr. Gör. Okan VARDAR, Öğr. Gör. Nesrin ÇUNKUŞ KÖKTAŞ, Öğr. Gör. Özlem KAYHAN, Arş. Gör. Edanur ÖZKAYA BOZKURT, Arş. Gör. Dicle Filiz YILDIRIM GÖKŞEN, Arş. Gör. Burcu BAKIRLIOĞLU, Arş. Gör. Zeynep DEVECİ KOÇBİLEK, Kenan AKAY, Hüseyin ŞENOCAK, Mustafa İNCE, Refik YAŞAR, Özge TAŞTAN, Murat KALE, Mevlüt ÇOBAN, Orhan EVŞEN, Nurten ÇILDIR, Levent KABUL, Sebahat KARAKAYA, Ümran ÖZDEMİR SİPAHİOĞLU, Mustafa ÇAN, Osman ÖZDEMİR, Abdurrahman YILMAZ</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2. GÜNDEM</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1. 2023-2024 Bahar yarıyılının süreçler (kalite güvencesi liderlik ve yönetişim süreci, eğitim öğretim süreci, araştırma geliştirme süreci ve topluma hizmet süreci) kapsamında yapılan uygulamaların paylaşılması, dış paydaş görüşlerinin değerlendirilmesi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2. Program amaç ve çıktılarının sunularak görüş ve önerilerin alınması</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3. Bahar yarıyılı intern toplantılarının ve öğrenci toplantılarının sunumu</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4. Uygun görülen diğer konular</w:t>
                  </w:r>
                </w:p>
              </w:tc>
            </w:tr>
          </w:tbl>
          <w:p>
            <w:pPr>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941"/>
              <w:gridCol w:w="10318"/>
            </w:tblGrid>
            <w:tr>
              <w:trPr>
                <w:trHeight w:val="262" w:hRule="atLeast"/>
              </w:trPr>
              <w:tc>
                <w:tcPr>
                  <w:tcW w:w="941" w:type="dxa"/>
                  <w:hMerge w:val="restart"/>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3. GÜNDEM / GÖRÜŞME VE KARARLAR</w:t>
                  </w:r>
                </w:p>
              </w:tc>
              <w:tc>
                <w:tcPr>
                  <w:tcW w:w="10318" w:type="dxa"/>
                  <w:hMerge w:val="continue"/>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Gündem</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 - Kalite Güvencesi Liderlik ve Yönetişim Süreci</w:t>
                  </w:r>
                  <w:r>
                    <w:rPr>
                      <w:rFonts w:ascii="Arial" w:hAnsi="Arial" w:eastAsia="Arial"/>
                      <w:color w:val="000000"/>
                      <w:sz w:val="20"/>
                    </w:rPr>
                    <w:br/>
                    <w:t xml:space="preserve">-Özellikle ölçmeye dayalı objektif kanıtlarımızı güçlendirmemiz, izlememiz ve değerlendirmemiz gerekmektedir. Bu aşamada HEPDAK akreditasyon süreci çalışmaları kapsamında bu eksik alanın tamamlanması amacı ile ölçme ve değerlendirme programı alınmıştır. Bu programın tanımı için yönetim, akademik personel ile yüz yüze ve uygulamalı online eğitim gerçekleştirilmiştir. Programın kolay kullanımını sağlamak için Web sayfamıza eklenmiştir. Tüm akademik personel oluşturulan şifre ile ulaşım sağlayabilmektedir. Akreditasyon çalışmaları kapsamında yeni kurulan komisyonlar (ölçme değerlendirme, mezun izlem komisyonları) ile ilgili tüm komisyonlar aktif bir şekilde çalışmalarını sürdürmektedir. </w:t>
                  </w:r>
                  <w:r>
                    <w:rPr>
                      <w:rFonts w:ascii="Arial" w:hAnsi="Arial" w:eastAsia="Arial"/>
                      <w:color w:val="000000"/>
                      <w:sz w:val="20"/>
                    </w:rPr>
                    <w:br/>
                  </w:r>
                  <w:r>
                    <w:rPr>
                      <w:rFonts w:ascii="Arial" w:hAnsi="Arial" w:eastAsia="Arial"/>
                      <w:color w:val="000000"/>
                      <w:sz w:val="20"/>
                    </w:rPr>
                    <w:br/>
                    <w:t xml:space="preserve">- YÖKAK değerlendirmesi sonrasında Üniversitemiz 2 yıllık akredite olmuştur. </w:t>
                  </w:r>
                  <w:r>
                    <w:rPr>
                      <w:rFonts w:ascii="Arial" w:hAnsi="Arial" w:eastAsia="Arial"/>
                      <w:color w:val="000000"/>
                      <w:sz w:val="20"/>
                    </w:rPr>
                    <w:br/>
                    <w:t xml:space="preserve">-Fakültemiz tarafından kullanılan dosya.pau.edu.tr adresinde ortak ulaşılan kalite uygulamalarına ilişkin belgelerin alan kısıtlaması ve güncelleme problemleri nedeni ile ulaşmada sıkıntı yaşandığı aktarıldı. Bu konuda Bilgi İşlem ile konuşulduğu bize iki seçenek sunulduğu belirtildi. Kullandığımız alanın kapasitesinin F1 bildirimi ile artırılabileceği  ya da Fakülte e posta adresine dayalı One Drive dosyası açılabileceği ve burayı kullanabileceğimiz hatırlatıldı. İç paydaşlar ile konu tartışıldı.</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2. Araştırma ve Geliştirme Süreci;</w:t>
                  </w:r>
                  <w:r>
                    <w:rPr>
                      <w:rFonts w:ascii="Arial" w:hAnsi="Arial" w:eastAsia="Arial"/>
                      <w:color w:val="000000"/>
                      <w:sz w:val="20"/>
                    </w:rPr>
                    <w:br/>
                    <w:t xml:space="preserve">- Araştırma süreçlerinin yönetiminde PAÜ Araştırma Geliştirme politikası yaklaşımı benimsenmektedir. 6 ayda bir akademik personelimizden istenilen akademik faaliyet raporu tablosu Haziran ayı içinde talep edilecek ve Haziran ayı sonunda değerlendirilecektir. Sonuçlar Kalite komisyonumuz tarafından ele alınacak ve oluşturulan tablo web sayfamızda yayınlanacaktır. Bu bilgiler diğer raporlarda kanıt olarak gösterilmektedir. </w:t>
                  </w:r>
                  <w:r>
                    <w:rPr>
                      <w:rFonts w:ascii="Arial" w:hAnsi="Arial" w:eastAsia="Arial"/>
                      <w:color w:val="000000"/>
                      <w:sz w:val="20"/>
                    </w:rPr>
                    <w:br/>
                    <w:t xml:space="preserve">-   Lisans ve lisansüstü programlarımızda bulunan öğrencilerimiz ve hastanede çalışan hemşireler ile diğer araştırmacılarla ortak çalışma planlamaları sürdürülmektedir. 6 aylık akademik faaliyet raporu ile sonuçlar gözlemlenebilecektir. </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3. Eğitim Öğretim Süreci; </w:t>
                  </w:r>
                  <w:r>
                    <w:rPr>
                      <w:rFonts w:ascii="Arial" w:hAnsi="Arial" w:eastAsia="Arial"/>
                      <w:color w:val="000000"/>
                      <w:sz w:val="20"/>
                    </w:rPr>
                    <w:br/>
                    <w:t xml:space="preserve">- Fakültemizde eğitim ve öğretim faaliyetlerine yönelik süreçler; yönetmelik, yönerge ve usul esaslar kapsamında bütüncül olarak yönetilmektedir. </w:t>
                  </w:r>
                  <w:r>
                    <w:rPr>
                      <w:rFonts w:ascii="Arial" w:hAnsi="Arial" w:eastAsia="Arial"/>
                      <w:color w:val="000000"/>
                      <w:sz w:val="20"/>
                    </w:rPr>
                    <w:br/>
                    <w:t xml:space="preserve">-Eğitim öğretim sürecinin iyileştirilmesi ve gelişmesi kapsamında ölçme değerlendirme programı alınmış ve bu dönem uygulamaya başlanmıştır. Bu amaçla tüm derslerin öğrenim kazanımlarını gözden geçirme ve güncelleme çalışmaları yapılmıştır. Ölçme değerlendirme programı ile ilgili Arş.Gör. Dr. Zeynep Deveci Koçbilek sorumlu olarak belirlenmiştir. 2023-2024 Bahar yarıyılından itinaeren sınavların bu sistemle yürütülmesi ve çıktılarının izlenmeye başlanması kararlaştırılmıştır. Sistemin kullanımı ile ilgili eğitimler tamamlanmış ayrıca ölçme değerlendirmeyi sağlayabilmede soru hazırlama ve sonuç çıktılarının ne anlama geldiğine ilişkin eğitimler alınmıştır.   </w:t>
                  </w:r>
                  <w:r>
                    <w:rPr>
                      <w:rFonts w:ascii="Arial" w:hAnsi="Arial" w:eastAsia="Arial"/>
                      <w:color w:val="000000"/>
                      <w:sz w:val="20"/>
                    </w:rPr>
                    <w:br/>
                    <w:t xml:space="preserve">-Derslerde aktif öğretim yöntemleri kullanılmasına ilişkin yeni yöntemlerin öğrenimi konusunda Fakülte olarak PDÖ eğitim yöntemine ilişkin eğitim alınmıştır. Sonraki süreçte İç Hastalıkları, Cerrahi ve Hemşirelik Esasaları AD nın katılımı ile entegre bir senaryo oluşturularak 2. Sınıf öğrencilerine 12-15 kişilik gruplar halinde uygulanarak öğrenci geri bildirimleri alınmıştır. Öğrencilerin ortalama %80-90 arasında memnun oldukları görülmüştür.  </w:t>
                  </w:r>
                  <w:r>
                    <w:rPr>
                      <w:rFonts w:ascii="Arial" w:hAnsi="Arial" w:eastAsia="Arial"/>
                      <w:color w:val="000000"/>
                      <w:sz w:val="20"/>
                    </w:rPr>
                    <w:br/>
                    <w:t xml:space="preserve">- -Araştırma Görevlisi gereksinimi önemli iyileştirilmesi gereken konumuz olarak devam etmektedir.  </w:t>
                  </w:r>
                  <w:r>
                    <w:rPr>
                      <w:rFonts w:ascii="Arial" w:hAnsi="Arial" w:eastAsia="Arial"/>
                      <w:color w:val="000000"/>
                      <w:sz w:val="20"/>
                    </w:rPr>
                    <w:br/>
                    <w:t xml:space="preserve">- Bahar yarıyılı içinde İntern koordinatörü tarafından öğrencilerle toplantılar gerçekleştirilmiş ayrıca öğrenci temsilcileri ile öğrenci toplantıları yapılmıştır.  Bu toplantılarda öğrenci temsilcisi sorun olarak iletilen nöbete yeni gelen gruba uyum ile ilgili yaşanan sorunlarda internlerin nöbet teslimi sonrası klinik sorumluları ile klinikten ayrılma kararından memnuniyetlerini dile getirdi. Öğrencilerle dönem sonu yapılan toplantı sonuçları da iç paydaş grubuna iletildi. </w:t>
                  </w:r>
                  <w:r>
                    <w:rPr>
                      <w:rFonts w:ascii="Arial" w:hAnsi="Arial" w:eastAsia="Arial"/>
                      <w:color w:val="000000"/>
                      <w:sz w:val="20"/>
                    </w:rPr>
                    <w:br/>
                    <w:t xml:space="preserve">- Eğitim öğretim sürecinde akreditasyon kapsamında Standart 1 ve 2 grubunda çalışan öğretim elemanları tarafından hazırlanan programın eğitim amaçları ve çıktıları iç paydaşa anlatıldı. Sonrasında değerlendirme için online oluşturulan anketin 03.06.2024 tarihi mesai bitimine kadar doldurulması kararlaştırıldı. </w:t>
                  </w:r>
                  <w:r>
                    <w:rPr>
                      <w:rFonts w:ascii="Arial" w:hAnsi="Arial" w:eastAsia="Arial"/>
                      <w:color w:val="000000"/>
                      <w:sz w:val="20"/>
                    </w:rPr>
                    <w:br/>
                    <w:t xml:space="preserve">-Anketlerden gelen geri dönüşlerin değerlendirilerek birim eğitim komisyonuna iletileceği belirtildi.</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4. Topluma Katkı Süreci:</w:t>
                  </w:r>
                  <w:r>
                    <w:rPr>
                      <w:rFonts w:ascii="Arial" w:hAnsi="Arial" w:eastAsia="Arial"/>
                      <w:color w:val="000000"/>
                      <w:sz w:val="20"/>
                    </w:rPr>
                    <w:br/>
                    <w:t xml:space="preserve">- Topluma katkı süreci çalışmaları Fakültemiz kapsamında artırılmıştır. Bu etkinlikler web sayfamızda ve faaliyet bilgi sisteminde duyurulmaktadır. Toplumsal katkı sürecine yönelik yapılan uygulamalar son 6 aylık süreçte aşağıdaki gibidir. </w:t>
                  </w:r>
                  <w:r>
                    <w:rPr>
                      <w:rFonts w:ascii="Arial" w:hAnsi="Arial" w:eastAsia="Arial"/>
                      <w:color w:val="000000"/>
                      <w:sz w:val="20"/>
                    </w:rPr>
                    <w:br/>
                    <w:t xml:space="preserve">-28.03.2024 tarihinde Kan Dostum Topluluğu, Pamukkale Üniversitesi Hastaneleri pediatri yataklı servisinde yatmakta olan hastalarla etkinlik planlamış ve bu etkinlik kapsamında hediyeler verilmiş, müzik dinletisi yapılmış yüz boyama ve tişört baskısı yapılıp oyunlar oynanmıştır. </w:t>
                  </w:r>
                  <w:r>
                    <w:rPr>
                      <w:rFonts w:ascii="Arial" w:hAnsi="Arial" w:eastAsia="Arial"/>
                      <w:color w:val="000000"/>
                      <w:sz w:val="20"/>
                    </w:rPr>
                    <w:br/>
                    <w:t xml:space="preserve">-22.04.2024 tarihinde Kan Dostum Topluluğu, PAÜ Üniversitesi Hastaneleri iş birliği ile hastanemizdeki çocukların 23 Nisan Ulusal Egemenlik ve Çocuk Bayramı’nı kutlamıştır. </w:t>
                  </w:r>
                  <w:r>
                    <w:rPr>
                      <w:rFonts w:ascii="Arial" w:hAnsi="Arial" w:eastAsia="Arial"/>
                      <w:color w:val="000000"/>
                      <w:sz w:val="20"/>
                    </w:rPr>
                    <w:br/>
                    <w:t xml:space="preserve">-Hemşirelikte Birlik ve Farkındalık Topluluğu ve Denizli Türkan Gülsevin Satır Çölyak Derneği  birlikte 9 Mayıs Dünya Çölyak Günü kapsamında iki etkinlik planlamıştır. 1. etkinlik 8 Mayıs 2024'de Pamukkale Üniversitesi Kınıklı Kampüsü Merkez Yemekhane Önünde stand açılarak ve broşür dağıtılarak, 2. etkinlik  9 Mayıs 2024 tarihinde  Çamlık Parkı Piknik alanında gerçekleştirilmiştir. </w:t>
                  </w:r>
                  <w:r>
                    <w:rPr>
                      <w:rFonts w:ascii="Arial" w:hAnsi="Arial" w:eastAsia="Arial"/>
                      <w:color w:val="000000"/>
                      <w:sz w:val="20"/>
                    </w:rPr>
                    <w:br/>
                    <w:t xml:space="preserve">-23.05.2024 tarihinde Hemşirelikte Birlik ve Farkındalık Topluluğu Sağlık Bilimleri Fakültesi önü, amfi ve sınıflarda bırakılan çöpleri toplayarak ve bilgilendirmeler yaparak çevre kirliliği hakkında farkındalık yaratmaya çalışmıştır.</w:t>
                  </w:r>
                  <w:r>
                    <w:rPr>
                      <w:rFonts w:ascii="Arial" w:hAnsi="Arial" w:eastAsia="Arial"/>
                      <w:color w:val="000000"/>
                      <w:sz w:val="20"/>
                    </w:rPr>
                    <w:br/>
                    <w:t xml:space="preserve">- Sosyal komite tarafından yapılan etkinlik ve uygulamalar konusunda bilgilendirme yapıldı. </w:t>
                  </w:r>
                  <w:r>
                    <w:rPr>
                      <w:rFonts w:ascii="Arial" w:hAnsi="Arial" w:eastAsia="Arial"/>
                      <w:color w:val="000000"/>
                      <w:sz w:val="20"/>
                    </w:rPr>
                    <w:br/>
                    <w:t xml:space="preserve">-Bu süreç kapsamında öğrenci destek birimi çalışmalarını sürdürmektedir ve yıl sonunda rapor hazırlamaktadır.  </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4</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5. -Fakülte tarafından kullanılan kalite belgelerine ulaşılan dosya.pau.edu.tr adresinin kullanılmaya devam edilmesine kapasitesinin artırılması için F1 aracılığı ile bildirim yapılmasına karar verildi. </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4</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6. -2023-2024 Bahar yarıyılında ölçme değerlendirme programının kullanılmaya başlanması kararlaştırıldı.</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2</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7. -Program eğitim amaçları ve çıktılarına ait görüş ve önerilerin 03.06.2024 mesai bitimine kadar online gönderilmesi kararlaştırıldı.</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4</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8. - İç paydaşların katılım sağladığı etkinlikler ile fakültemizin toplumsal katkı alanında daha çok öne çıkması planlanmaktadır.</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3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694"/>
              <w:gridCol w:w="4364"/>
              <w:gridCol w:w="3775"/>
              <w:gridCol w:w="1160"/>
              <w:gridCol w:w="1265"/>
            </w:tblGrid>
            <w:tr>
              <w:trPr>
                <w:trHeight w:val="262" w:hRule="atLeast"/>
              </w:trPr>
              <w:tc>
                <w:tcPr>
                  <w:tcW w:w="694" w:type="dxa"/>
                  <w:hMerge w:val="restart"/>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4. FAALİYET PLANI</w:t>
                  </w:r>
                </w:p>
              </w:tc>
              <w:tc>
                <w:tcPr>
                  <w:tcW w:w="4364" w:type="dxa"/>
                  <w:hMerge w:val="continue"/>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3775"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160"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265" w:type="dxa"/>
                  <w:tcBorders>
                    <w:top w:val="single" w:color="000000" w:sz="7"/>
                    <w:left w:val="nil" w:color="000000" w:sz="7"/>
                    <w:bottom w:val="nil"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69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c>
                <w:tcPr>
                  <w:tcW w:w="436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Faaliyet</w:t>
                  </w:r>
                </w:p>
              </w:tc>
              <w:tc>
                <w:tcPr>
                  <w:tcW w:w="377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Sorumlu</w:t>
                  </w:r>
                </w:p>
              </w:tc>
              <w:tc>
                <w:tcPr>
                  <w:tcW w:w="1160"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Baş. Tarihi</w:t>
                  </w:r>
                </w:p>
              </w:tc>
              <w:tc>
                <w:tcPr>
                  <w:tcW w:w="126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Bitiş Tarihi</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1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536"/>
              <w:gridCol w:w="2867"/>
              <w:gridCol w:w="2856"/>
            </w:tblGrid>
            <w:tr>
              <w:trPr>
                <w:trHeight w:val="262" w:hRule="atLeast"/>
              </w:trPr>
              <w:tc>
                <w:tcPr>
                  <w:tcW w:w="553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5. TOPLANTIYA KATILANLAR / KARAR ONAYLARI</w:t>
                  </w:r>
                </w:p>
              </w:tc>
              <w:tc>
                <w:tcPr>
                  <w:tcW w:w="2867"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vAlign w:val="center"/>
                </w:tcPr>
                <w:p>
                  <w:pPr>
                    <w:spacing w:after="0" w:line="240" w:lineRule="auto"/>
                  </w:pPr>
                </w:p>
              </w:tc>
              <w:tc>
                <w:tcPr>
                  <w:tcW w:w="285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Katılımcı Adı Soyadı </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Görevi</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İmza</w:t>
                  </w: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Başkan</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İlgün ÖZEN ÇINAR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Gülbahar KORKMAZ ASLAN</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Okan VARDAR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Nesrin ÇUNKUŞ KÖKTAŞ</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Arş. Gör. Edanur ÖZKAYA BOZKURT</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Raportör</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Kenan AKAY</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6. TUTANAK DAĞILIM LİSTESİ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Hatice KARADAM, Prof. Dr. Asiye KARTAL, Prof. Dr. Türkan TURAN, Prof. Dr. Bengü ÇETİNKAYA, Prof. Dr. Sevgi ÖZKAN, Prof. Dr. Pınar SERÇEKUŞ AK, Doç. Dr. Çiğdem GÖK, Doç. Dr. Gülcan BAKAN, Doç. Dr. Gülay TAŞDEMİR, Doç. Dr. Sebahat ALTUNDAĞ, Doç. Dr. Elif ULUDAĞ, Doç. Dr. Fadime Hatice İNCİ, Doç. Dr. Ganime CAN GÜR, Doç. Dr. Hatice BAŞKALE, Doç. Dr. İlgün ÖZEN ÇINAR, Doç. Dr. Gülbahar KORKMAZ ASLAN, Doç. Dr. Şefika Tuğba YANGÖZ, Doç. Dr. Sümeyye ARSLAN, Doç. Dr. Sibel Serap CEYLAN, Doç. Dr. Fadime GÖK, Dr. Öğr. Üyesi Gülbanu ZENCİR, Dr. Öğr. Üyesi Ayla YAVUZ KARAMANOĞLU, Dr. Öğr. Üyesi Figen TÜRK DÜDÜKCÜ, Dr. Öğr. Üyesi Fatma ÖZGÜN ÖZTÜRK, Dr. Öğr. Üyesi Nazan KOŞTU, Dr. Öğr. Üyesi Sinem GÖRAL TÜRKCÜ, Öğr. Gör. Özlem FİDAN, Öğr. Gör. Arife AZAK, Öğr. Gör. Arife ŞANLIALP ZEYREK, Öğr. Gör. Okan VARDAR, Öğr. Gör. Nesrin ÇUNKUŞ KÖKTAŞ, Öğr. Gör. Özlem KAYHAN, Arş. Gör. Edanur ÖZKAYA BOZKURT, Arş. Gör. Dicle Filiz YILDIRIM GÖKŞEN, Arş. Gör. Burcu BAKIRLIOĞLU, Arş. Gör. Zeynep DEVECİ KOÇBİLEK, Kenan AKAY, Hüseyin ŞENOCAK, Mustafa İNCE, Refik YAŞAR, Özge TAŞTAN, Murat KALE, Mevlüt ÇOBAN, Orhan EVŞEN, Nurten ÇILDIR, Levent KABUL, Sebahat KARAKAYA, Ümran ÖZDEMİR SİPAHİOĞLU, Mustafa ÇAN, Osman ÖZDEMİR, Abdurrahman YILMAZ</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7. EKLER</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2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bl>
    <w:p>
      <w:pPr>
        <w:spacing w:after="0" w:line="240" w:lineRule="auto"/>
      </w:pPr>
    </w:p>
    <w:sectPr w:rsidRPr="" w:rsidDel="" w:rsidR="" w:rsidSect="">
      <w:footerReference r:id="rId5" w:type="default"/>
      <w:pgSz w:w="11905" w:h="16837"/>
      <w:pgMar w:top="283" w:right="283" w:bottom="283" w:left="283" w:header="" w:footer="" w:gutter=""/>
    </w:sectPr>
  </w:body>
</w:document>
</file>

<file path=word/footer0.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28"/>
      <w:gridCol w:w="747"/>
      <w:gridCol w:w="183"/>
      <w:gridCol w:w="9035"/>
      <w:gridCol w:w="200"/>
      <w:gridCol w:w="1034"/>
      <w:gridCol w:w="30"/>
    </w:tblGrid>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vMerge w:val="restart"/>
        </w:tcPr>
        <w:tbl>
          <w:tblPr>
            <w:tblCellMar>
              <w:top w:w="0" w:type="dxa"/>
              <w:left w:w="0" w:type="dxa"/>
              <w:bottom w:w="0" w:type="dxa"/>
              <w:right w:w="0" w:type="dxa"/>
            </w:tblCellMar>
          </w:tblPr>
          <w:tblGrid>
            <w:gridCol w:w="1034"/>
          </w:tblGrid>
          <w:tr>
            <w:trPr>
              <w:trHeight w:val="276" w:hRule="atLeast"/>
            </w:trPr>
            <w:tc>
              <w:tcPr>
                <w:tcW w:w="1034"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fldChar w:fldCharType="begin" w:fldLock="0" w:dirty="0"/>
                </w:r>
                <w:r>
                  <w:rPr>
                    <w:rFonts w:ascii="Arial" w:hAnsi="Arial" w:eastAsia="Arial"/>
                    <w:b/>
                    <w:noProof/>
                    <w:color w:val="000000"/>
                    <w:sz w:val="16"/>
                  </w:rPr>
                  <w:instrText xml:space="preserve"> PAGE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r>
                  <w:rPr>
                    <w:rFonts w:ascii="Arial" w:hAnsi="Arial" w:eastAsia="Arial"/>
                    <w:b/>
                    <w:color w:val="000000"/>
                    <w:sz w:val="16"/>
                  </w:rPr>
                  <w:t xml:space="preserve"> / </w:t>
                </w:r>
                <w:r>
                  <w:rPr>
                    <w:rFonts w:ascii="Arial" w:hAnsi="Arial" w:eastAsia="Arial"/>
                    <w:b/>
                    <w:color w:val="000000"/>
                    <w:sz w:val="16"/>
                  </w:rPr>
                  <w:fldChar w:fldCharType="begin" w:fldLock="0" w:dirty="0"/>
                </w:r>
                <w:r>
                  <w:rPr>
                    <w:rFonts w:ascii="Arial" w:hAnsi="Arial" w:eastAsia="Arial"/>
                    <w:b/>
                    <w:noProof/>
                    <w:color w:val="000000"/>
                    <w:sz w:val="16"/>
                  </w:rPr>
                  <w:instrText xml:space="preserve"> NUMPAGES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p>
            </w:tc>
          </w:tr>
        </w:tbl>
        <w:p>
          <w:pPr>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restart"/>
        </w:tcPr>
        <w:tbl>
          <w:tblPr>
            <w:tblCellMar>
              <w:top w:w="0" w:type="dxa"/>
              <w:left w:w="0" w:type="dxa"/>
              <w:bottom w:w="0" w:type="dxa"/>
              <w:right w:w="0" w:type="dxa"/>
            </w:tblCellMar>
          </w:tblPr>
          <w:tblGrid>
            <w:gridCol w:w="747"/>
          </w:tblGrid>
          <w:tr>
            <w:trPr>
              <w:trHeight w:val="276" w:hRule="atLeast"/>
            </w:trPr>
            <w:tc>
              <w:tcPr>
                <w:tcW w:w="747"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t xml:space="preserve">TPL003</w:t>
                </w:r>
              </w:p>
            </w:tc>
          </w:tr>
        </w:tbl>
        <w:p>
          <w:pPr>
            <w:spacing w:after="0" w:line="240" w:lineRule="auto"/>
          </w:pPr>
        </w:p>
      </w:tc>
      <w:tc>
        <w:tcPr>
          <w:tcW w:w="183" w:type="dxa"/>
        </w:tcPr>
        <w:p>
          <w:pPr>
            <w:pStyle w:val="EmptyCellLayoutStyle"/>
            <w:spacing w:after="0" w:line="240" w:lineRule="auto"/>
          </w:pPr>
        </w:p>
      </w:tc>
      <w:tc>
        <w:tcPr>
          <w:tcW w:w="9035" w:type="dxa"/>
          <w:vMerge w:val="restart"/>
        </w:tcPr>
        <w:tbl>
          <w:tblPr>
            <w:tblCellMar>
              <w:top w:w="0" w:type="dxa"/>
              <w:left w:w="0" w:type="dxa"/>
              <w:bottom w:w="0" w:type="dxa"/>
              <w:right w:w="0" w:type="dxa"/>
            </w:tblCellMar>
          </w:tblPr>
          <w:tblGrid>
            <w:gridCol w:w="9035"/>
          </w:tblGrid>
          <w:tr>
            <w:trPr>
              <w:trHeight w:val="276" w:hRule="atLeast"/>
            </w:trPr>
            <w:tc>
              <w:tcPr>
                <w:tcW w:w="9035"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6"/>
                  </w:rPr>
                  <w:t xml:space="preserve">Pamukkale Üniversitesi -  Bilgi İşlem Daire Başkanlığı</w:t>
                </w:r>
              </w:p>
            </w:tc>
          </w:tr>
        </w:tbl>
        <w:p>
          <w:pPr>
            <w:spacing w:after="0" w:line="240" w:lineRule="auto"/>
          </w:pPr>
        </w:p>
      </w:tc>
      <w:tc>
        <w:tcPr>
          <w:tcW w:w="200" w:type="dxa"/>
        </w:tcPr>
        <w:p>
          <w:pPr>
            <w:pStyle w:val="EmptyCellLayoutStyle"/>
            <w:spacing w:after="0" w:line="240" w:lineRule="auto"/>
          </w:pPr>
        </w:p>
      </w:tc>
      <w:tc>
        <w:tcPr>
          <w:tcW w:w="1034" w:type="dxa"/>
          <w:vMerge w:val="continue"/>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continue"/>
        </w:tcPr>
        <w:p>
          <w:pPr>
            <w:pStyle w:val="EmptyCellLayoutStyle"/>
            <w:spacing w:after="0" w:line="240" w:lineRule="auto"/>
          </w:pPr>
        </w:p>
      </w:tc>
      <w:tc>
        <w:tcPr>
          <w:tcW w:w="183" w:type="dxa"/>
        </w:tcPr>
        <w:p>
          <w:pPr>
            <w:pStyle w:val="EmptyCellLayoutStyle"/>
            <w:spacing w:after="0" w:line="240" w:lineRule="auto"/>
          </w:pPr>
        </w:p>
      </w:tc>
      <w:tc>
        <w:tcPr>
          <w:tcW w:w="9035" w:type="dxa"/>
          <w:vMerge w:val="continue"/>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bl>
</w:ft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footer" Target="/word/footer0.xml" Id="rId5" /><Relationship Type="http://schemas.openxmlformats.org/officeDocument/2006/relationships/image" Target="/word/media/img3.jpg" Id="rId6" /><Relationship Type="http://schemas.openxmlformats.org/officeDocument/2006/relationships/numbering" Target="/word/numbering.xml" Id="rId8"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TOPLANTI_TutanakBelgesi</dc:title>
</cp:coreProperties>
</file>