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546" w:rsidRPr="00AA2098" w:rsidRDefault="00784546" w:rsidP="00784546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AA2098"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451CD8F" wp14:editId="6147C5B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45820" cy="845820"/>
            <wp:effectExtent l="0" t="0" r="0" b="0"/>
            <wp:wrapSquare wrapText="bothSides"/>
            <wp:docPr id="2" name="Resim 2" descr="C:\Users\omer\AppData\Local\Temp\Rar$DI01.292\pau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er\AppData\Local\Temp\Rar$DI01.292\pau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2098">
        <w:rPr>
          <w:rFonts w:ascii="Arial" w:hAnsi="Arial" w:cs="Arial"/>
          <w:b/>
        </w:rPr>
        <w:t>MÜHENDİSLİK FAKÜLTESİ</w:t>
      </w:r>
    </w:p>
    <w:p w:rsidR="00784546" w:rsidRPr="00AA2098" w:rsidRDefault="00784546" w:rsidP="00784546">
      <w:pPr>
        <w:spacing w:after="0" w:line="240" w:lineRule="auto"/>
        <w:jc w:val="center"/>
        <w:rPr>
          <w:rFonts w:ascii="Arial" w:hAnsi="Arial" w:cs="Arial"/>
          <w:b/>
        </w:rPr>
      </w:pPr>
      <w:r w:rsidRPr="00AA2098">
        <w:rPr>
          <w:rFonts w:ascii="Arial" w:hAnsi="Arial" w:cs="Arial"/>
          <w:b/>
        </w:rPr>
        <w:t>GIDA MÜHENDİSLİĞİ BÖLÜMÜ</w:t>
      </w:r>
    </w:p>
    <w:p w:rsidR="00784546" w:rsidRPr="00AA2098" w:rsidRDefault="00784546" w:rsidP="00784546">
      <w:pPr>
        <w:spacing w:after="0" w:line="240" w:lineRule="auto"/>
        <w:jc w:val="center"/>
        <w:rPr>
          <w:rFonts w:ascii="Arial" w:hAnsi="Arial" w:cs="Arial"/>
          <w:b/>
        </w:rPr>
      </w:pPr>
    </w:p>
    <w:p w:rsidR="00784546" w:rsidRDefault="00784546" w:rsidP="0078454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YENİ </w:t>
      </w:r>
      <w:r w:rsidRPr="00AA2098">
        <w:rPr>
          <w:rFonts w:ascii="Arial" w:hAnsi="Arial" w:cs="Arial"/>
          <w:b/>
        </w:rPr>
        <w:t>MEZUN ANKETİ</w:t>
      </w:r>
    </w:p>
    <w:p w:rsidR="00784546" w:rsidRPr="00AA2098" w:rsidRDefault="00784546" w:rsidP="00784546">
      <w:pPr>
        <w:spacing w:after="0" w:line="240" w:lineRule="auto"/>
        <w:jc w:val="center"/>
        <w:rPr>
          <w:rFonts w:ascii="Arial" w:hAnsi="Arial" w:cs="Arial"/>
        </w:rPr>
      </w:pPr>
      <w:r w:rsidRPr="00AA2098">
        <w:rPr>
          <w:rFonts w:ascii="Arial" w:hAnsi="Arial" w:cs="Arial"/>
        </w:rPr>
        <w:br w:type="textWrapping" w:clear="all"/>
      </w:r>
    </w:p>
    <w:p w:rsidR="00784546" w:rsidRPr="00AA2098" w:rsidRDefault="00784546" w:rsidP="007845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098">
        <w:rPr>
          <w:rFonts w:ascii="Arial" w:hAnsi="Arial" w:cs="Arial"/>
          <w:sz w:val="20"/>
          <w:szCs w:val="20"/>
        </w:rPr>
        <w:t>Değerli Mezunumuz,</w:t>
      </w:r>
    </w:p>
    <w:p w:rsidR="00784546" w:rsidRDefault="00784546" w:rsidP="00784546">
      <w:pPr>
        <w:spacing w:after="0" w:line="240" w:lineRule="auto"/>
        <w:jc w:val="both"/>
        <w:rPr>
          <w:rFonts w:ascii="Arial" w:hAnsi="Arial" w:cs="Arial"/>
        </w:rPr>
      </w:pPr>
      <w:r w:rsidRPr="00AA2098">
        <w:rPr>
          <w:rFonts w:ascii="Arial" w:hAnsi="Arial" w:cs="Arial"/>
          <w:sz w:val="20"/>
          <w:szCs w:val="20"/>
        </w:rPr>
        <w:t>Bölüm Akreditasyon çalışmaları kapsamında ha</w:t>
      </w:r>
      <w:r>
        <w:rPr>
          <w:rFonts w:ascii="Arial" w:hAnsi="Arial" w:cs="Arial"/>
          <w:sz w:val="20"/>
          <w:szCs w:val="20"/>
        </w:rPr>
        <w:t>zırlanmış olan bu anket, Bölüm eğitim a</w:t>
      </w:r>
      <w:r w:rsidRPr="00AA2098">
        <w:rPr>
          <w:rFonts w:ascii="Arial" w:hAnsi="Arial" w:cs="Arial"/>
          <w:sz w:val="20"/>
          <w:szCs w:val="20"/>
        </w:rPr>
        <w:t>maçlarının ve bu amaçlara ulaşmak için Eğitim ve Öğretim faaliyetlerinin değerlendirilmesinde bizlere ışık tutacaktır. Bölümümüzde almış olduğunuz eğitime ilişkin görüşleriniz</w:t>
      </w:r>
      <w:r>
        <w:rPr>
          <w:rFonts w:ascii="Arial" w:hAnsi="Arial" w:cs="Arial"/>
          <w:sz w:val="20"/>
          <w:szCs w:val="20"/>
        </w:rPr>
        <w:t>in</w:t>
      </w:r>
      <w:r w:rsidRPr="00AA2098">
        <w:rPr>
          <w:rFonts w:ascii="Arial" w:hAnsi="Arial" w:cs="Arial"/>
          <w:sz w:val="20"/>
          <w:szCs w:val="20"/>
        </w:rPr>
        <w:t xml:space="preserve"> bizim için oldukça değerli olduğunu hatırlatır, zaman ayırdığınız için teşekkür ederiz.</w:t>
      </w:r>
      <w:r w:rsidRPr="00AA2098">
        <w:rPr>
          <w:rFonts w:ascii="Arial" w:hAnsi="Arial" w:cs="Arial"/>
        </w:rPr>
        <w:t xml:space="preserve"> </w:t>
      </w:r>
    </w:p>
    <w:p w:rsidR="00784546" w:rsidRDefault="00784546" w:rsidP="0078454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A2098">
        <w:rPr>
          <w:rFonts w:ascii="Arial" w:hAnsi="Arial" w:cs="Arial"/>
          <w:b/>
          <w:sz w:val="20"/>
          <w:szCs w:val="20"/>
        </w:rPr>
        <w:t>Bölüm Başkanlığı</w:t>
      </w:r>
    </w:p>
    <w:p w:rsidR="00784546" w:rsidRDefault="00784546" w:rsidP="0078454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Bölümdeki eğitimin değerlendirilmesi (Alttaki skalaya göre puanlayınız.)</w:t>
      </w:r>
    </w:p>
    <w:tbl>
      <w:tblPr>
        <w:tblW w:w="108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501"/>
        <w:gridCol w:w="2181"/>
        <w:gridCol w:w="2185"/>
        <w:gridCol w:w="631"/>
        <w:gridCol w:w="748"/>
        <w:gridCol w:w="748"/>
        <w:gridCol w:w="58"/>
        <w:gridCol w:w="690"/>
        <w:gridCol w:w="748"/>
        <w:gridCol w:w="748"/>
      </w:tblGrid>
      <w:tr w:rsidR="00784546" w:rsidRPr="0097322A" w:rsidTr="0044639B">
        <w:trPr>
          <w:trHeight w:val="556"/>
        </w:trPr>
        <w:tc>
          <w:tcPr>
            <w:tcW w:w="6435" w:type="dxa"/>
            <w:gridSpan w:val="4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Hangi öğretimden mezun olduğunuzu işaretleyiniz?</w:t>
            </w:r>
          </w:p>
        </w:tc>
        <w:tc>
          <w:tcPr>
            <w:tcW w:w="2185" w:type="dxa"/>
            <w:gridSpan w:val="4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Normal Öğretim</w:t>
            </w:r>
          </w:p>
        </w:tc>
        <w:tc>
          <w:tcPr>
            <w:tcW w:w="2186" w:type="dxa"/>
            <w:gridSpan w:val="3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İkinci Öğretim</w:t>
            </w:r>
          </w:p>
        </w:tc>
      </w:tr>
      <w:tr w:rsidR="00784546" w:rsidRPr="0097322A" w:rsidTr="0044639B">
        <w:trPr>
          <w:trHeight w:val="556"/>
        </w:trPr>
        <w:tc>
          <w:tcPr>
            <w:tcW w:w="2069" w:type="dxa"/>
            <w:gridSpan w:val="2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Çok Zayıf (1)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Zayıf (2)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Orta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(3)</w:t>
            </w:r>
          </w:p>
        </w:tc>
        <w:tc>
          <w:tcPr>
            <w:tcW w:w="2185" w:type="dxa"/>
            <w:gridSpan w:val="4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İyi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(4)</w:t>
            </w:r>
          </w:p>
        </w:tc>
        <w:tc>
          <w:tcPr>
            <w:tcW w:w="2186" w:type="dxa"/>
            <w:gridSpan w:val="3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Çok İyi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(5)</w:t>
            </w:r>
          </w:p>
        </w:tc>
      </w:tr>
      <w:tr w:rsidR="00784546" w:rsidRPr="0097322A" w:rsidTr="0044639B">
        <w:trPr>
          <w:trHeight w:val="556"/>
        </w:trPr>
        <w:tc>
          <w:tcPr>
            <w:tcW w:w="7066" w:type="dxa"/>
            <w:gridSpan w:val="5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5</w:t>
            </w:r>
          </w:p>
        </w:tc>
      </w:tr>
      <w:tr w:rsidR="00784546" w:rsidRPr="0097322A" w:rsidTr="0044639B">
        <w:trPr>
          <w:trHeight w:val="556"/>
        </w:trPr>
        <w:tc>
          <w:tcPr>
            <w:tcW w:w="56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498" w:type="dxa"/>
            <w:gridSpan w:val="4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t>Matematik, fen bilimleri ve gıda ile ilgili mühendislik konularında yeterli bilgi birikimi; bu alanlardaki kuramsal ve uygulamalı bilgileri mühendislik problemlerini modelleme ve çözme için uygulayabilme becerisi.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</w:tr>
      <w:tr w:rsidR="00784546" w:rsidRPr="0097322A" w:rsidTr="0044639B">
        <w:trPr>
          <w:trHeight w:val="556"/>
        </w:trPr>
        <w:tc>
          <w:tcPr>
            <w:tcW w:w="56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498" w:type="dxa"/>
            <w:gridSpan w:val="4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t>Türevsel denklemleri de içerecek biçimde matematik; organik kimya ve fizikokimya; biyolojik bilimlerde yeterli olma.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</w:tr>
      <w:tr w:rsidR="00784546" w:rsidRPr="0097322A" w:rsidTr="0044639B">
        <w:trPr>
          <w:trHeight w:val="556"/>
        </w:trPr>
        <w:tc>
          <w:tcPr>
            <w:tcW w:w="56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498" w:type="dxa"/>
            <w:gridSpan w:val="4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t>Kinetik, malzeme, ısı ve kütle transferi, bilişim sistemleri, süreç denetim konuları ve gıda işleme sistemleri konularında yeterlilik.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</w:tr>
      <w:tr w:rsidR="00784546" w:rsidRPr="0097322A" w:rsidTr="0044639B">
        <w:trPr>
          <w:trHeight w:val="556"/>
        </w:trPr>
        <w:tc>
          <w:tcPr>
            <w:tcW w:w="56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498" w:type="dxa"/>
            <w:gridSpan w:val="4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t>Gıda mühendisliği ile ilgili mühendislik problemlerini saptama, tanımlama, formüle etme ve çözme becerisi; bu amaçla uygun analiz ve modelleme yöntemlerini seçme ve uygulama becerisi.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</w:tr>
      <w:tr w:rsidR="00784546" w:rsidRPr="0097322A" w:rsidTr="0044639B">
        <w:trPr>
          <w:trHeight w:val="556"/>
        </w:trPr>
        <w:tc>
          <w:tcPr>
            <w:tcW w:w="56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6498" w:type="dxa"/>
            <w:gridSpan w:val="4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t xml:space="preserve">Gıda Mühendisliği ile ilgili karmaşık bir sistemi, belirli gereksinimleri karşılayacak şekilde </w:t>
            </w:r>
            <w:proofErr w:type="spellStart"/>
            <w:r>
              <w:t>modifiye</w:t>
            </w:r>
            <w:proofErr w:type="spellEnd"/>
            <w:r>
              <w:t xml:space="preserve"> etme ve/veya tasarlama; bu amaçla modern tasarım yöntemlerini uygulama becerisi.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</w:tr>
      <w:tr w:rsidR="00784546" w:rsidRPr="0097322A" w:rsidTr="0044639B">
        <w:trPr>
          <w:trHeight w:val="556"/>
        </w:trPr>
        <w:tc>
          <w:tcPr>
            <w:tcW w:w="56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6498" w:type="dxa"/>
            <w:gridSpan w:val="4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t>Gıda mühendisliği uygulamaları için gerekli çağdaş teknik ve araçları geliştirme, seçme ve etkin bir şekilde kullanma becerisi; bilişim teknolojilerini etkin bir şekilde kullanma becerisi.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</w:tr>
      <w:tr w:rsidR="00784546" w:rsidRPr="0097322A" w:rsidTr="0044639B">
        <w:trPr>
          <w:trHeight w:val="556"/>
        </w:trPr>
        <w:tc>
          <w:tcPr>
            <w:tcW w:w="56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6498" w:type="dxa"/>
            <w:gridSpan w:val="4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t>Gıda mühendisliği problemlerinin incelenmesi için deney tasarlama, deney yapma, veri toplama, sonuçları analiz etme ve yorumlama becerisi.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</w:tr>
      <w:tr w:rsidR="00784546" w:rsidRPr="0097322A" w:rsidTr="0044639B">
        <w:trPr>
          <w:trHeight w:val="556"/>
        </w:trPr>
        <w:tc>
          <w:tcPr>
            <w:tcW w:w="56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6498" w:type="dxa"/>
            <w:gridSpan w:val="4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t>Bireysel çalışma becerisi yanında disiplin içi ve disiplinler arası etkin biçimde çalışabilme becerisi;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</w:tr>
      <w:tr w:rsidR="00784546" w:rsidRPr="0097322A" w:rsidTr="0044639B">
        <w:trPr>
          <w:trHeight w:val="556"/>
        </w:trPr>
        <w:tc>
          <w:tcPr>
            <w:tcW w:w="56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498" w:type="dxa"/>
            <w:gridSpan w:val="4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t>Türkçe sözlü ve yazılı etkin iletişim kurma becerisi; en az bir yabancı dil bilgisine ve T.C. inkılap tarihi bilgisine sahip olma.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</w:tr>
      <w:tr w:rsidR="00784546" w:rsidRPr="0097322A" w:rsidTr="0044639B">
        <w:trPr>
          <w:trHeight w:val="556"/>
        </w:trPr>
        <w:tc>
          <w:tcPr>
            <w:tcW w:w="56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6498" w:type="dxa"/>
            <w:gridSpan w:val="4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t>Yaşam boyu öğrenmenin gerekliliği bilinci; bilgiye erişebilme, bilim ve teknolojideki gelişmeleri izleme ve kendini sürekli yenileme becerisi.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</w:tr>
      <w:tr w:rsidR="00784546" w:rsidRPr="0097322A" w:rsidTr="0044639B">
        <w:trPr>
          <w:trHeight w:val="556"/>
        </w:trPr>
        <w:tc>
          <w:tcPr>
            <w:tcW w:w="56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498" w:type="dxa"/>
            <w:gridSpan w:val="4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t>Mesleki ve etik sorumluluk bilincine sahip olma.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</w:tr>
      <w:tr w:rsidR="00784546" w:rsidRPr="0097322A" w:rsidTr="0044639B">
        <w:trPr>
          <w:trHeight w:val="556"/>
        </w:trPr>
        <w:tc>
          <w:tcPr>
            <w:tcW w:w="56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498" w:type="dxa"/>
            <w:gridSpan w:val="4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t>Proje, risk ve değişiklik yönetimi gibi iş hayatındaki uygulamalar hakkında bilgi; girişimcilik, yenilikçilik ve sürdürebilir kalkınma hakkında farkındalık.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</w:tr>
      <w:tr w:rsidR="00784546" w:rsidRPr="0097322A" w:rsidTr="0044639B">
        <w:trPr>
          <w:trHeight w:val="556"/>
        </w:trPr>
        <w:tc>
          <w:tcPr>
            <w:tcW w:w="56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4864E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6498" w:type="dxa"/>
            <w:gridSpan w:val="4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t>Mühendislik uygulamalarının evrensel ve toplumsal boyutlarda sağlık, çevre ve güvenlik üzerindeki etkileri ile çağın sorunları hakkında bilgi; mühendislik çözümlerinin yasal sonuçları konusunda farkındalık.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546" w:rsidRPr="004864E3" w:rsidRDefault="00784546" w:rsidP="004463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</w:p>
        </w:tc>
      </w:tr>
    </w:tbl>
    <w:p w:rsidR="00784546" w:rsidRDefault="00784546"/>
    <w:sectPr w:rsidR="00784546" w:rsidSect="00784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46"/>
    <w:rsid w:val="002764F0"/>
    <w:rsid w:val="0044639B"/>
    <w:rsid w:val="00784546"/>
    <w:rsid w:val="00BB795B"/>
    <w:rsid w:val="00C740F7"/>
    <w:rsid w:val="00D4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76B23-CB70-BE4E-BC77-AB955A82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5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</dc:creator>
  <cp:lastModifiedBy>Pau</cp:lastModifiedBy>
  <cp:revision>2</cp:revision>
  <dcterms:created xsi:type="dcterms:W3CDTF">2018-06-22T12:07:00Z</dcterms:created>
  <dcterms:modified xsi:type="dcterms:W3CDTF">2018-06-22T12:07:00Z</dcterms:modified>
</cp:coreProperties>
</file>