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73" w:rsidRDefault="00681873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</w:p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31115</wp:posOffset>
                </wp:positionV>
                <wp:extent cx="6309360" cy="0"/>
                <wp:effectExtent l="34290" t="37465" r="28575" b="2921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56F787F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45pt" to="469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XzoQIAAG8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" o:allowincell="f" strokeweight="4.5pt"/>
            </w:pict>
          </mc:Fallback>
        </mc:AlternateContent>
      </w:r>
    </w:p>
    <w:p w:rsidR="002441AB" w:rsidRPr="004C4CC2" w:rsidRDefault="002441AB" w:rsidP="002441AB">
      <w:pPr>
        <w:pStyle w:val="Balk1"/>
        <w:rPr>
          <w:b w:val="0"/>
          <w:bCs w:val="0"/>
          <w:sz w:val="22"/>
          <w:szCs w:val="22"/>
          <w:u w:val="none"/>
        </w:rPr>
      </w:pPr>
      <w:r w:rsidRPr="004C4CC2">
        <w:rPr>
          <w:sz w:val="22"/>
          <w:szCs w:val="22"/>
          <w:u w:val="none"/>
        </w:rPr>
        <w:t>Uygulamanın adı:</w:t>
      </w:r>
      <w:r w:rsidRPr="004C4CC2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4C4CC2" w:rsidRPr="004C4CC2">
        <w:rPr>
          <w:b w:val="0"/>
          <w:bCs w:val="0"/>
          <w:sz w:val="22"/>
          <w:szCs w:val="22"/>
          <w:u w:val="none"/>
        </w:rPr>
        <w:t>İntravenöz</w:t>
      </w:r>
      <w:proofErr w:type="spellEnd"/>
      <w:r w:rsidR="004C4CC2" w:rsidRPr="004C4CC2">
        <w:rPr>
          <w:b w:val="0"/>
          <w:bCs w:val="0"/>
          <w:sz w:val="22"/>
          <w:szCs w:val="22"/>
          <w:u w:val="none"/>
        </w:rPr>
        <w:t xml:space="preserve"> sıvı tedavisinin başlatılması ve IV Girişim uygulaması.</w:t>
      </w:r>
    </w:p>
    <w:p w:rsidR="00223029" w:rsidRPr="004C4CC2" w:rsidRDefault="002441AB" w:rsidP="004C4CC2">
      <w:pPr>
        <w:pStyle w:val="Balk4"/>
        <w:rPr>
          <w:rFonts w:ascii="Times New Roman" w:hAnsi="Times New Roman" w:cs="Times New Roman"/>
          <w:sz w:val="22"/>
          <w:szCs w:val="22"/>
        </w:rPr>
      </w:pPr>
      <w:r w:rsidRPr="004C4CC2">
        <w:rPr>
          <w:rFonts w:ascii="Times New Roman" w:hAnsi="Times New Roman" w:cs="Times New Roman"/>
          <w:b/>
          <w:bCs/>
          <w:sz w:val="22"/>
          <w:szCs w:val="22"/>
        </w:rPr>
        <w:t>Uygulamanın amacı:</w:t>
      </w:r>
      <w:r w:rsidRPr="004C4C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4CC2" w:rsidRPr="004C4CC2">
        <w:rPr>
          <w:rFonts w:ascii="Times New Roman" w:hAnsi="Times New Roman" w:cs="Times New Roman"/>
          <w:bCs/>
          <w:sz w:val="22"/>
          <w:szCs w:val="22"/>
        </w:rPr>
        <w:t>İntravenöz</w:t>
      </w:r>
      <w:proofErr w:type="spellEnd"/>
      <w:r w:rsidR="004C4CC2" w:rsidRPr="004C4CC2">
        <w:rPr>
          <w:rFonts w:ascii="Times New Roman" w:hAnsi="Times New Roman" w:cs="Times New Roman"/>
          <w:bCs/>
          <w:sz w:val="22"/>
          <w:szCs w:val="22"/>
        </w:rPr>
        <w:t xml:space="preserve"> sıvı tedavisinin başlatılması ve IV Girişim uygulaması becerisinin kazandırılması.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C4CC2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C4CC2" w:rsidRDefault="002441AB" w:rsidP="00CA1E95">
            <w:pPr>
              <w:jc w:val="both"/>
              <w:rPr>
                <w:b/>
                <w:bCs/>
                <w:sz w:val="22"/>
                <w:szCs w:val="22"/>
              </w:rPr>
            </w:pPr>
            <w:r w:rsidRPr="004C4CC2">
              <w:rPr>
                <w:b/>
                <w:bCs/>
                <w:sz w:val="22"/>
                <w:szCs w:val="22"/>
              </w:rPr>
              <w:t>MALZEME:</w:t>
            </w:r>
            <w:r w:rsidR="00CA1E95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İntravenöz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solüsyon (%5Dextroz,</w:t>
            </w:r>
            <w:r w:rsidR="004C4CC2">
              <w:rPr>
                <w:sz w:val="22"/>
                <w:szCs w:val="22"/>
              </w:rPr>
              <w:t xml:space="preserve"> </w:t>
            </w:r>
            <w:r w:rsidR="004C4CC2" w:rsidRPr="004C4CC2">
              <w:rPr>
                <w:sz w:val="22"/>
                <w:szCs w:val="22"/>
              </w:rPr>
              <w:t xml:space="preserve">%0,9 </w:t>
            </w:r>
            <w:proofErr w:type="spellStart"/>
            <w:r w:rsidR="004C4CC2" w:rsidRPr="004C4CC2">
              <w:rPr>
                <w:sz w:val="22"/>
                <w:szCs w:val="22"/>
              </w:rPr>
              <w:t>İzotonik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vs.) Mayii </w:t>
            </w:r>
            <w:proofErr w:type="spellStart"/>
            <w:proofErr w:type="gramStart"/>
            <w:r w:rsidR="004C4CC2" w:rsidRPr="004C4CC2">
              <w:rPr>
                <w:sz w:val="22"/>
                <w:szCs w:val="22"/>
              </w:rPr>
              <w:t>askısı,Mayii</w:t>
            </w:r>
            <w:proofErr w:type="spellEnd"/>
            <w:proofErr w:type="gramEnd"/>
            <w:r w:rsidR="004C4CC2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seti,Uygun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numarada </w:t>
            </w:r>
            <w:proofErr w:type="spellStart"/>
            <w:r w:rsidR="004C4CC2" w:rsidRPr="004C4CC2">
              <w:rPr>
                <w:sz w:val="22"/>
                <w:szCs w:val="22"/>
              </w:rPr>
              <w:t>branül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iğnesi yada </w:t>
            </w:r>
            <w:proofErr w:type="spellStart"/>
            <w:r w:rsidR="004C4CC2" w:rsidRPr="004C4CC2">
              <w:rPr>
                <w:sz w:val="22"/>
                <w:szCs w:val="22"/>
              </w:rPr>
              <w:t>katater,Alkol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yada </w:t>
            </w:r>
            <w:proofErr w:type="spellStart"/>
            <w:r w:rsidR="004C4CC2" w:rsidRPr="004C4CC2">
              <w:rPr>
                <w:sz w:val="22"/>
                <w:szCs w:val="22"/>
              </w:rPr>
              <w:t>Betadine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solüsyonu,Pamuk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tampon,Turnike,Flaster,Tesbit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tahtası,Tedavi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Bezi ve </w:t>
            </w:r>
            <w:proofErr w:type="spellStart"/>
            <w:r w:rsidR="004C4CC2" w:rsidRPr="004C4CC2">
              <w:rPr>
                <w:sz w:val="22"/>
                <w:szCs w:val="22"/>
              </w:rPr>
              <w:t>Muşambası,Böbrek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</w:t>
            </w:r>
            <w:proofErr w:type="spellStart"/>
            <w:r w:rsidR="004C4CC2" w:rsidRPr="004C4CC2">
              <w:rPr>
                <w:sz w:val="22"/>
                <w:szCs w:val="22"/>
              </w:rPr>
              <w:t>Küvet,Tek</w:t>
            </w:r>
            <w:proofErr w:type="spellEnd"/>
            <w:r w:rsidR="004C4CC2" w:rsidRPr="004C4CC2">
              <w:rPr>
                <w:sz w:val="22"/>
                <w:szCs w:val="22"/>
              </w:rPr>
              <w:t xml:space="preserve"> kullanımlık eldiven.</w:t>
            </w:r>
          </w:p>
        </w:tc>
      </w:tr>
    </w:tbl>
    <w:p w:rsidR="002441AB" w:rsidRPr="004C4CC2" w:rsidRDefault="002441AB" w:rsidP="002441A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C4CC2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C4CC2" w:rsidRDefault="002441AB" w:rsidP="00751FAE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4C4CC2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2441AB" w:rsidRPr="004C4CC2" w:rsidRDefault="002441AB" w:rsidP="00751FAE">
            <w:pPr>
              <w:jc w:val="both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1.Basamağın yanlış uygulanması veya atlanması.</w:t>
            </w:r>
          </w:p>
          <w:p w:rsidR="002441AB" w:rsidRPr="004C4CC2" w:rsidRDefault="002441AB" w:rsidP="00751FAE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2.Basamağın doğru şekilde ve sırada uygulanması fakat basamaktan basamağa rahat geçilememesi.</w:t>
            </w:r>
          </w:p>
          <w:p w:rsidR="002441AB" w:rsidRPr="004C4CC2" w:rsidRDefault="002441AB" w:rsidP="00751FAE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3.Basamağın doğru şekilde ve sırada uygulanması, basamaktan basamağa rahat geçilmesi.</w:t>
            </w:r>
          </w:p>
        </w:tc>
      </w:tr>
    </w:tbl>
    <w:p w:rsidR="002441AB" w:rsidRPr="004C4CC2" w:rsidRDefault="002441AB" w:rsidP="002441AB">
      <w:pPr>
        <w:jc w:val="both"/>
        <w:rPr>
          <w:sz w:val="22"/>
          <w:szCs w:val="22"/>
        </w:rPr>
      </w:pPr>
    </w:p>
    <w:p w:rsidR="002441AB" w:rsidRPr="004C4CC2" w:rsidRDefault="002441AB" w:rsidP="002441AB">
      <w:pPr>
        <w:jc w:val="both"/>
        <w:rPr>
          <w:b/>
          <w:bCs/>
          <w:sz w:val="22"/>
          <w:szCs w:val="22"/>
        </w:rPr>
      </w:pPr>
      <w:r w:rsidRPr="004C4CC2">
        <w:rPr>
          <w:b/>
          <w:bCs/>
          <w:sz w:val="22"/>
          <w:szCs w:val="22"/>
        </w:rPr>
        <w:t>İŞLEM BASAMAKLARI:</w:t>
      </w:r>
    </w:p>
    <w:tbl>
      <w:tblPr>
        <w:tblW w:w="10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7528"/>
        <w:gridCol w:w="325"/>
        <w:gridCol w:w="360"/>
        <w:gridCol w:w="591"/>
      </w:tblGrid>
      <w:tr w:rsidR="002441AB" w:rsidRPr="004C4CC2" w:rsidTr="00751FAE">
        <w:tc>
          <w:tcPr>
            <w:tcW w:w="1217" w:type="dxa"/>
          </w:tcPr>
          <w:p w:rsidR="002441AB" w:rsidRPr="004C4CC2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4C4CC2">
              <w:rPr>
                <w:b/>
                <w:bCs/>
                <w:sz w:val="22"/>
                <w:szCs w:val="22"/>
              </w:rPr>
              <w:t>Basamak</w:t>
            </w:r>
          </w:p>
          <w:p w:rsidR="002441AB" w:rsidRPr="004C4CC2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4C4CC2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28" w:type="dxa"/>
          </w:tcPr>
          <w:p w:rsidR="002441AB" w:rsidRPr="004C4CC2" w:rsidRDefault="002441AB" w:rsidP="00751FAE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4C4CC2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76" w:type="dxa"/>
            <w:gridSpan w:val="3"/>
          </w:tcPr>
          <w:p w:rsidR="002441AB" w:rsidRPr="004C4CC2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4C4CC2">
              <w:rPr>
                <w:b/>
                <w:bCs/>
                <w:sz w:val="22"/>
                <w:szCs w:val="22"/>
              </w:rPr>
              <w:t>Gözlemler</w:t>
            </w:r>
          </w:p>
          <w:p w:rsidR="002441AB" w:rsidRPr="004C4CC2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4C4CC2">
              <w:rPr>
                <w:b/>
                <w:bCs/>
                <w:sz w:val="22"/>
                <w:szCs w:val="22"/>
              </w:rPr>
              <w:t xml:space="preserve"> 1   2    3</w:t>
            </w: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Hastayı nazik karşılama.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Hastayla tanışıp kendini tanıtma.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Hastayı işlem yapılacak odaya götürülmesi ya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da işlem yatağında yapılması.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4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Hastaya işlem hakkında bilgi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verilmesi</w:t>
            </w:r>
            <w:r>
              <w:rPr>
                <w:sz w:val="22"/>
                <w:szCs w:val="22"/>
              </w:rPr>
              <w:t>.</w:t>
            </w:r>
            <w:r w:rsidRPr="004C4CC2">
              <w:rPr>
                <w:sz w:val="22"/>
                <w:szCs w:val="22"/>
              </w:rPr>
              <w:t>Varsa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korkularının konuşarak giderilmesi.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5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Kullanılacak malzemelerin bir tepsi içinde hazırlanması (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mayii,mayii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seti,mayii</w:t>
            </w:r>
            <w:proofErr w:type="spell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askısı,branül,flaster,tesbit</w:t>
            </w:r>
            <w:proofErr w:type="spell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tahtası,enjektör,turnike,alkol,pamuk</w:t>
            </w:r>
            <w:proofErr w:type="spellEnd"/>
            <w:r w:rsidRPr="004C4CC2">
              <w:rPr>
                <w:sz w:val="22"/>
                <w:szCs w:val="22"/>
              </w:rPr>
              <w:t>).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6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Hazırlanacak solüsyonun kontrol edilmesi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 xml:space="preserve">(doğru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solüsyon,doğru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doz,doğru</w:t>
            </w:r>
            <w:proofErr w:type="spell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zaman,son</w:t>
            </w:r>
            <w:proofErr w:type="spellEnd"/>
            <w:r w:rsidRPr="004C4CC2">
              <w:rPr>
                <w:sz w:val="22"/>
                <w:szCs w:val="22"/>
              </w:rPr>
              <w:t xml:space="preserve"> kullanma tarihi kontrolü vs.)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7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Ellerin temizlenmesi.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8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Kullanılacak tüm tek kullanımlık malzemelerin </w:t>
            </w:r>
            <w:proofErr w:type="spellStart"/>
            <w:r w:rsidRPr="004C4CC2">
              <w:rPr>
                <w:sz w:val="22"/>
                <w:szCs w:val="22"/>
              </w:rPr>
              <w:t>sterilitesinin</w:t>
            </w:r>
            <w:proofErr w:type="spellEnd"/>
            <w:r w:rsidRPr="004C4CC2">
              <w:rPr>
                <w:sz w:val="22"/>
                <w:szCs w:val="22"/>
              </w:rPr>
              <w:t xml:space="preserve"> kontrol edilmesi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(Son kullanma tarihlerinin bakılması).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9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Solüsyon şişesinin askısının takılması.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10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Solüsyon şişesinin metal kapak veya metal diskinin açılması.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11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Sıvı setinin iki ucunun </w:t>
            </w:r>
            <w:proofErr w:type="spellStart"/>
            <w:r w:rsidRPr="004C4CC2">
              <w:rPr>
                <w:sz w:val="22"/>
                <w:szCs w:val="22"/>
              </w:rPr>
              <w:t>sterilitesinin</w:t>
            </w:r>
            <w:proofErr w:type="spellEnd"/>
            <w:r w:rsidRPr="004C4CC2">
              <w:rPr>
                <w:sz w:val="22"/>
                <w:szCs w:val="22"/>
              </w:rPr>
              <w:t xml:space="preserve"> bozulmamasına dikkat edilerek paketin açılması.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12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Sıvı setinin solüsyon şişesine girecek ucundaki koruyucu parçanın (kının) çıkartılması.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13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Kının altında kalan uç kısmın </w:t>
            </w:r>
            <w:proofErr w:type="spellStart"/>
            <w:r w:rsidRPr="004C4CC2">
              <w:rPr>
                <w:sz w:val="22"/>
                <w:szCs w:val="22"/>
              </w:rPr>
              <w:t>kontamine</w:t>
            </w:r>
            <w:proofErr w:type="spellEnd"/>
            <w:r w:rsidRPr="004C4CC2">
              <w:rPr>
                <w:sz w:val="22"/>
                <w:szCs w:val="22"/>
              </w:rPr>
              <w:t xml:space="preserve"> edilmeden şişenin lastik tıpasının tam ortasından içeriye doğru kuvvetlice itilmesi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(şişeye hava giriş sesi (</w:t>
            </w:r>
            <w:proofErr w:type="spellStart"/>
            <w:r w:rsidRPr="004C4CC2">
              <w:rPr>
                <w:sz w:val="22"/>
                <w:szCs w:val="22"/>
              </w:rPr>
              <w:t>pıs</w:t>
            </w:r>
            <w:proofErr w:type="spellEnd"/>
            <w:r w:rsidRPr="004C4CC2">
              <w:rPr>
                <w:sz w:val="22"/>
                <w:szCs w:val="22"/>
              </w:rPr>
              <w:t xml:space="preserve">) işitilmese solüsyon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kullanılmamalıdır.Çünkü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bu durum şişenin ağzındaki metal kapakların sağlam olmadığını ,şişenin daha önce hava aldığını gösterir ve solüsyon </w:t>
            </w:r>
            <w:proofErr w:type="spellStart"/>
            <w:r w:rsidRPr="004C4CC2">
              <w:rPr>
                <w:sz w:val="22"/>
                <w:szCs w:val="22"/>
              </w:rPr>
              <w:t>kontamine</w:t>
            </w:r>
            <w:proofErr w:type="spellEnd"/>
            <w:r w:rsidRPr="004C4CC2">
              <w:rPr>
                <w:sz w:val="22"/>
                <w:szCs w:val="22"/>
              </w:rPr>
              <w:t xml:space="preserve"> kabul edilir ,kullanılmaz.)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14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Sıvı setinin metal kıskacının (ya da akış ayarlayıcı makaranın) kapatılması.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15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İntravenöz</w:t>
            </w:r>
            <w:proofErr w:type="spellEnd"/>
            <w:r w:rsidRPr="004C4CC2">
              <w:rPr>
                <w:sz w:val="22"/>
                <w:szCs w:val="22"/>
              </w:rPr>
              <w:t xml:space="preserve"> solüsyon şişesini ters çevrilerek sıvı askısına takılması.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16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Sıvı setinin havalandırma kapağının açılması. (Böylece solüsyonun havayla yer değiştirerek kolayca akması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sağlanır.Sıvı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setinde havalandırma kapağı olmayan ;kendinden hava akışını sağlayan mekanizmalı setler vardır.)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17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Sıvı setinin damlalığının baş parmak ve işaret parmağı arasında sıkılıp gevşetilerek yarısına kadar solüsyonla doldurulması.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18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Sıvı setinin </w:t>
            </w:r>
            <w:proofErr w:type="spellStart"/>
            <w:r w:rsidRPr="004C4CC2">
              <w:rPr>
                <w:sz w:val="22"/>
                <w:szCs w:val="22"/>
              </w:rPr>
              <w:t>branüle</w:t>
            </w:r>
            <w:proofErr w:type="spellEnd"/>
            <w:r w:rsidRPr="004C4CC2">
              <w:rPr>
                <w:sz w:val="22"/>
                <w:szCs w:val="22"/>
              </w:rPr>
              <w:t xml:space="preserve"> (ya da </w:t>
            </w:r>
            <w:proofErr w:type="spellStart"/>
            <w:r w:rsidRPr="004C4CC2">
              <w:rPr>
                <w:sz w:val="22"/>
                <w:szCs w:val="22"/>
              </w:rPr>
              <w:t>katatere</w:t>
            </w:r>
            <w:proofErr w:type="spellEnd"/>
            <w:r w:rsidRPr="004C4CC2">
              <w:rPr>
                <w:sz w:val="22"/>
                <w:szCs w:val="22"/>
              </w:rPr>
              <w:t xml:space="preserve">) bağlanacak ucun; ucundaki koruyucu kının çıkartılıp </w:t>
            </w:r>
            <w:proofErr w:type="spellStart"/>
            <w:r w:rsidRPr="004C4CC2">
              <w:rPr>
                <w:sz w:val="22"/>
                <w:szCs w:val="22"/>
              </w:rPr>
              <w:t>kontamine</w:t>
            </w:r>
            <w:proofErr w:type="spellEnd"/>
            <w:r w:rsidRPr="004C4CC2">
              <w:rPr>
                <w:sz w:val="22"/>
                <w:szCs w:val="22"/>
              </w:rPr>
              <w:t xml:space="preserve"> etmeden böbrek küvetinin içine doğru yüksekten tutulması.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Sıvı setinin metal kıskacının (ya da akış ayarlayıcı makaranın) açılarak solüsyonun akmasının sağlanması ve sıvı setinin içindeki hava kabarcıkları tamamen çıkana dek sıvı akışının sürdürülmesi.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20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Sıvı setinde hava kabarcığı kalmayınca setin metal kıskacının (ya da akış ayarlayıcı makaranın) tekrar kapatılması.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21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Sıvı setinin </w:t>
            </w:r>
            <w:proofErr w:type="spellStart"/>
            <w:r w:rsidRPr="004C4CC2">
              <w:rPr>
                <w:sz w:val="22"/>
                <w:szCs w:val="22"/>
              </w:rPr>
              <w:t>branüle</w:t>
            </w:r>
            <w:proofErr w:type="spellEnd"/>
            <w:r w:rsidRPr="004C4CC2">
              <w:rPr>
                <w:sz w:val="22"/>
                <w:szCs w:val="22"/>
              </w:rPr>
              <w:t xml:space="preserve"> (ya da </w:t>
            </w:r>
            <w:proofErr w:type="spellStart"/>
            <w:r w:rsidRPr="004C4CC2">
              <w:rPr>
                <w:sz w:val="22"/>
                <w:szCs w:val="22"/>
              </w:rPr>
              <w:t>katatere</w:t>
            </w:r>
            <w:proofErr w:type="spellEnd"/>
            <w:r w:rsidRPr="004C4CC2">
              <w:rPr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bağlanacak,uç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kısmında çıkardığımız koruyucu kının </w:t>
            </w:r>
            <w:proofErr w:type="spellStart"/>
            <w:r w:rsidRPr="004C4CC2">
              <w:rPr>
                <w:sz w:val="22"/>
                <w:szCs w:val="22"/>
              </w:rPr>
              <w:t>kontamine</w:t>
            </w:r>
            <w:proofErr w:type="spellEnd"/>
            <w:r w:rsidRPr="004C4CC2">
              <w:rPr>
                <w:sz w:val="22"/>
                <w:szCs w:val="22"/>
              </w:rPr>
              <w:t xml:space="preserve"> edilmeden tekrar yerine takılması.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22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Hastaya yapılacak </w:t>
            </w:r>
            <w:proofErr w:type="spellStart"/>
            <w:r w:rsidRPr="004C4CC2">
              <w:rPr>
                <w:sz w:val="22"/>
                <w:szCs w:val="22"/>
              </w:rPr>
              <w:t>intravenöz</w:t>
            </w:r>
            <w:proofErr w:type="spellEnd"/>
            <w:r w:rsidRPr="004C4CC2">
              <w:rPr>
                <w:sz w:val="22"/>
                <w:szCs w:val="22"/>
              </w:rPr>
              <w:t xml:space="preserve"> girişine kadar sıvı setinin bu bölümünün sıvı askısının üzerine asılması.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23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Eldiven giyilmesi.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24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Ponksiyon yeri (damar girişi) uygun ve antiseptik solüsyonu (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baticon,alkol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>) ile dezenfekte edilir.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25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Tercihen </w:t>
            </w:r>
            <w:proofErr w:type="spellStart"/>
            <w:r w:rsidRPr="004C4CC2">
              <w:rPr>
                <w:sz w:val="22"/>
                <w:szCs w:val="22"/>
              </w:rPr>
              <w:t>distalden</w:t>
            </w:r>
            <w:proofErr w:type="spellEnd"/>
            <w:r w:rsidRPr="004C4CC2">
              <w:rPr>
                <w:sz w:val="22"/>
                <w:szCs w:val="22"/>
              </w:rPr>
              <w:t xml:space="preserve"> başlamak kaydıyla (el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sırtı,ön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kol vs.) </w:t>
            </w:r>
            <w:proofErr w:type="spellStart"/>
            <w:r w:rsidRPr="004C4CC2">
              <w:rPr>
                <w:sz w:val="22"/>
                <w:szCs w:val="22"/>
              </w:rPr>
              <w:t>venden</w:t>
            </w:r>
            <w:proofErr w:type="spellEnd"/>
            <w:r w:rsidRPr="004C4CC2">
              <w:rPr>
                <w:sz w:val="22"/>
                <w:szCs w:val="22"/>
              </w:rPr>
              <w:t xml:space="preserve"> uygulamaya dikkat edilir.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26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Turnike uygulanarak </w:t>
            </w:r>
            <w:proofErr w:type="spellStart"/>
            <w:r w:rsidRPr="004C4CC2">
              <w:rPr>
                <w:sz w:val="22"/>
                <w:szCs w:val="22"/>
              </w:rPr>
              <w:t>venöz</w:t>
            </w:r>
            <w:proofErr w:type="spell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staz</w:t>
            </w:r>
            <w:proofErr w:type="spellEnd"/>
            <w:r w:rsidRPr="004C4CC2">
              <w:rPr>
                <w:sz w:val="22"/>
                <w:szCs w:val="22"/>
              </w:rPr>
              <w:t xml:space="preserve"> sağlanır.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27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Deri fiske edilir</w:t>
            </w:r>
            <w:r>
              <w:rPr>
                <w:sz w:val="22"/>
                <w:szCs w:val="22"/>
              </w:rPr>
              <w:t>.</w:t>
            </w:r>
            <w:r w:rsidRPr="004C4CC2">
              <w:rPr>
                <w:sz w:val="22"/>
                <w:szCs w:val="22"/>
              </w:rPr>
              <w:t xml:space="preserve"> (hafif deri üstü vurulur)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Deri alttan desteklenerek gerdirilir.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28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kılıfı çıkarılır. İğnesiyle damara bir hamlede,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acı vermeden girilir. (Deri yüzeyine 10-15 derece açıyla).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29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iğnesinin arka uç kapağına kan gelip gelmediği kontrol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edilir.Eğer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kan gelmişse </w:t>
            </w:r>
            <w:proofErr w:type="spellStart"/>
            <w:r w:rsidRPr="004C4CC2">
              <w:rPr>
                <w:sz w:val="22"/>
                <w:szCs w:val="22"/>
              </w:rPr>
              <w:t>branül</w:t>
            </w:r>
            <w:proofErr w:type="spellEnd"/>
            <w:r w:rsidRPr="004C4CC2">
              <w:rPr>
                <w:sz w:val="22"/>
                <w:szCs w:val="22"/>
              </w:rPr>
              <w:t xml:space="preserve"> 5 mm kadar </w:t>
            </w:r>
            <w:proofErr w:type="spellStart"/>
            <w:r w:rsidRPr="004C4CC2">
              <w:rPr>
                <w:sz w:val="22"/>
                <w:szCs w:val="22"/>
              </w:rPr>
              <w:t>ven</w:t>
            </w:r>
            <w:proofErr w:type="spellEnd"/>
            <w:r w:rsidRPr="004C4CC2">
              <w:rPr>
                <w:sz w:val="22"/>
                <w:szCs w:val="22"/>
              </w:rPr>
              <w:t xml:space="preserve"> lümenine doğru itilir.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30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iğnesi hafif geri çekilip,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 xml:space="preserve">aynı zamanda </w:t>
            </w: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şeffaf kısmı da damar lümenine itilir.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31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Turnike açılır.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32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Parmakla </w:t>
            </w: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üzerine baskı uygulanarak iğne tamamen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çıkarılır.Aynı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zaman da </w:t>
            </w:r>
            <w:proofErr w:type="spellStart"/>
            <w:r w:rsidRPr="004C4CC2">
              <w:rPr>
                <w:sz w:val="22"/>
                <w:szCs w:val="22"/>
              </w:rPr>
              <w:t>branülden</w:t>
            </w:r>
            <w:proofErr w:type="spellEnd"/>
            <w:r w:rsidRPr="004C4CC2">
              <w:rPr>
                <w:sz w:val="22"/>
                <w:szCs w:val="22"/>
              </w:rPr>
              <w:t xml:space="preserve"> kan gelişi engellemek için baskı uygulanmış olur.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33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Mayii setinin ucundaki iğneli kının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çıkarılır.Mayii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setinin ucu ,</w:t>
            </w: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ucuna takılarak </w:t>
            </w:r>
            <w:proofErr w:type="spellStart"/>
            <w:r w:rsidRPr="004C4CC2">
              <w:rPr>
                <w:sz w:val="22"/>
                <w:szCs w:val="22"/>
              </w:rPr>
              <w:t>infüzyon</w:t>
            </w:r>
            <w:proofErr w:type="spellEnd"/>
            <w:r w:rsidRPr="004C4CC2">
              <w:rPr>
                <w:sz w:val="22"/>
                <w:szCs w:val="22"/>
              </w:rPr>
              <w:t xml:space="preserve"> başlanılır.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34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Mayii setindeki metal kıskaç açılarak </w:t>
            </w:r>
            <w:proofErr w:type="spellStart"/>
            <w:r w:rsidRPr="004C4CC2">
              <w:rPr>
                <w:sz w:val="22"/>
                <w:szCs w:val="22"/>
              </w:rPr>
              <w:t>infüzyon</w:t>
            </w:r>
            <w:proofErr w:type="spellEnd"/>
            <w:r w:rsidRPr="004C4CC2">
              <w:rPr>
                <w:sz w:val="22"/>
                <w:szCs w:val="22"/>
              </w:rPr>
              <w:t xml:space="preserve"> sağlanarak gidiş sağlanır.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35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Venöz</w:t>
            </w:r>
            <w:proofErr w:type="spellEnd"/>
            <w:r w:rsidRPr="004C4CC2">
              <w:rPr>
                <w:sz w:val="22"/>
                <w:szCs w:val="22"/>
              </w:rPr>
              <w:t xml:space="preserve"> girişim yerinde şişlik olup olmadığı kontrol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edilir.Şişlik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varsa damar yolu iptal edilerek başka bir yerden girişim </w:t>
            </w:r>
            <w:proofErr w:type="spellStart"/>
            <w:r w:rsidRPr="004C4CC2">
              <w:rPr>
                <w:sz w:val="22"/>
                <w:szCs w:val="22"/>
              </w:rPr>
              <w:t>uygulanır.”Şişlik</w:t>
            </w:r>
            <w:proofErr w:type="spellEnd"/>
            <w:r w:rsidRPr="004C4CC2">
              <w:rPr>
                <w:sz w:val="22"/>
                <w:szCs w:val="22"/>
              </w:rPr>
              <w:t xml:space="preserve"> yoksa mayii ayarlaması yapılarak </w:t>
            </w:r>
            <w:proofErr w:type="spellStart"/>
            <w:r w:rsidRPr="004C4CC2">
              <w:rPr>
                <w:sz w:val="22"/>
                <w:szCs w:val="22"/>
              </w:rPr>
              <w:t>infüzyon</w:t>
            </w:r>
            <w:proofErr w:type="spellEnd"/>
            <w:r w:rsidRPr="004C4CC2">
              <w:rPr>
                <w:sz w:val="22"/>
                <w:szCs w:val="22"/>
              </w:rPr>
              <w:t xml:space="preserve"> gönderilir.”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36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Branülün</w:t>
            </w:r>
            <w:proofErr w:type="spellEnd"/>
            <w:r w:rsidRPr="004C4CC2">
              <w:rPr>
                <w:sz w:val="22"/>
                <w:szCs w:val="22"/>
              </w:rPr>
              <w:t xml:space="preserve"> iğnesi atık kutusuna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atılır.Eldiven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enfekte</w:t>
            </w:r>
            <w:proofErr w:type="spellEnd"/>
            <w:r w:rsidRPr="004C4CC2">
              <w:rPr>
                <w:sz w:val="22"/>
                <w:szCs w:val="22"/>
              </w:rPr>
              <w:t xml:space="preserve"> atık kutusuna atılır.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37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proofErr w:type="spellStart"/>
            <w:r w:rsidRPr="004C4CC2">
              <w:rPr>
                <w:sz w:val="22"/>
                <w:szCs w:val="22"/>
              </w:rPr>
              <w:t>Branül</w:t>
            </w:r>
            <w:proofErr w:type="spellEnd"/>
            <w:r w:rsidRPr="004C4CC2">
              <w:rPr>
                <w:sz w:val="22"/>
                <w:szCs w:val="22"/>
              </w:rPr>
              <w:t xml:space="preserve"> </w:t>
            </w:r>
            <w:proofErr w:type="spellStart"/>
            <w:r w:rsidRPr="004C4CC2">
              <w:rPr>
                <w:sz w:val="22"/>
                <w:szCs w:val="22"/>
              </w:rPr>
              <w:t>flaster</w:t>
            </w:r>
            <w:proofErr w:type="spellEnd"/>
            <w:r w:rsidRPr="004C4CC2">
              <w:rPr>
                <w:sz w:val="22"/>
                <w:szCs w:val="22"/>
              </w:rPr>
              <w:t xml:space="preserve"> ile tespit edilir. (Bebek ve yaşlılarda </w:t>
            </w:r>
            <w:proofErr w:type="spellStart"/>
            <w:r w:rsidRPr="004C4CC2">
              <w:rPr>
                <w:sz w:val="22"/>
                <w:szCs w:val="22"/>
              </w:rPr>
              <w:t>tesbit</w:t>
            </w:r>
            <w:proofErr w:type="spellEnd"/>
            <w:r w:rsidRPr="004C4CC2">
              <w:rPr>
                <w:sz w:val="22"/>
                <w:szCs w:val="22"/>
              </w:rPr>
              <w:t xml:space="preserve"> tahtası ile </w:t>
            </w:r>
            <w:proofErr w:type="spellStart"/>
            <w:r w:rsidRPr="004C4CC2">
              <w:rPr>
                <w:sz w:val="22"/>
                <w:szCs w:val="22"/>
              </w:rPr>
              <w:t>flasterlenir</w:t>
            </w:r>
            <w:proofErr w:type="spellEnd"/>
            <w:r w:rsidRPr="004C4C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38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Mayii bitmişse işlem sonlandırılır. </w:t>
            </w:r>
            <w:proofErr w:type="spellStart"/>
            <w:r w:rsidRPr="004C4CC2">
              <w:rPr>
                <w:sz w:val="22"/>
                <w:szCs w:val="22"/>
              </w:rPr>
              <w:t>Flasterler</w:t>
            </w:r>
            <w:proofErr w:type="spellEnd"/>
            <w:r w:rsidRPr="004C4CC2">
              <w:rPr>
                <w:sz w:val="22"/>
                <w:szCs w:val="22"/>
              </w:rPr>
              <w:t xml:space="preserve"> çözülür. </w:t>
            </w:r>
            <w:proofErr w:type="spellStart"/>
            <w:r w:rsidRPr="004C4CC2">
              <w:rPr>
                <w:sz w:val="22"/>
                <w:szCs w:val="22"/>
              </w:rPr>
              <w:t>Branül</w:t>
            </w:r>
            <w:proofErr w:type="spellEnd"/>
            <w:r w:rsidRPr="004C4CC2">
              <w:rPr>
                <w:sz w:val="22"/>
                <w:szCs w:val="22"/>
              </w:rPr>
              <w:t xml:space="preserve"> damardan çıkarılır. Damar üzerine kuru pamuk ile baskı yapılır</w:t>
            </w:r>
            <w:r>
              <w:rPr>
                <w:sz w:val="22"/>
                <w:szCs w:val="22"/>
              </w:rPr>
              <w:t xml:space="preserve"> </w:t>
            </w:r>
            <w:r w:rsidRPr="004C4CC2">
              <w:rPr>
                <w:sz w:val="22"/>
                <w:szCs w:val="22"/>
              </w:rPr>
              <w:t>(Gerekirse eldiven giyilerek bu işlem yapılır)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  <w:tr w:rsidR="004C4CC2" w:rsidRPr="004C4CC2" w:rsidTr="00751FAE">
        <w:tc>
          <w:tcPr>
            <w:tcW w:w="1217" w:type="dxa"/>
          </w:tcPr>
          <w:p w:rsidR="004C4CC2" w:rsidRPr="004C4CC2" w:rsidRDefault="004C4CC2" w:rsidP="004C4CC2">
            <w:pPr>
              <w:jc w:val="center"/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>39</w:t>
            </w:r>
          </w:p>
        </w:tc>
        <w:tc>
          <w:tcPr>
            <w:tcW w:w="7528" w:type="dxa"/>
          </w:tcPr>
          <w:p w:rsidR="004C4CC2" w:rsidRPr="004C4CC2" w:rsidRDefault="004C4CC2" w:rsidP="004C4CC2">
            <w:pPr>
              <w:rPr>
                <w:sz w:val="22"/>
                <w:szCs w:val="22"/>
              </w:rPr>
            </w:pPr>
            <w:r w:rsidRPr="004C4CC2">
              <w:rPr>
                <w:sz w:val="22"/>
                <w:szCs w:val="22"/>
              </w:rPr>
              <w:t xml:space="preserve">Mayii cam atık kutusuna; mayii </w:t>
            </w:r>
            <w:proofErr w:type="spellStart"/>
            <w:proofErr w:type="gramStart"/>
            <w:r w:rsidRPr="004C4CC2">
              <w:rPr>
                <w:sz w:val="22"/>
                <w:szCs w:val="22"/>
              </w:rPr>
              <w:t>set,branül</w:t>
            </w:r>
            <w:proofErr w:type="spellEnd"/>
            <w:proofErr w:type="gramEnd"/>
            <w:r w:rsidRPr="004C4CC2">
              <w:rPr>
                <w:sz w:val="22"/>
                <w:szCs w:val="22"/>
              </w:rPr>
              <w:t xml:space="preserve"> ve eldiven </w:t>
            </w:r>
            <w:proofErr w:type="spellStart"/>
            <w:r w:rsidRPr="004C4CC2">
              <w:rPr>
                <w:sz w:val="22"/>
                <w:szCs w:val="22"/>
              </w:rPr>
              <w:t>enfekte</w:t>
            </w:r>
            <w:proofErr w:type="spellEnd"/>
            <w:r w:rsidRPr="004C4CC2">
              <w:rPr>
                <w:sz w:val="22"/>
                <w:szCs w:val="22"/>
              </w:rPr>
              <w:t xml:space="preserve"> atık kutusuna atılır. </w:t>
            </w:r>
          </w:p>
        </w:tc>
        <w:tc>
          <w:tcPr>
            <w:tcW w:w="325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4C4CC2" w:rsidRPr="004C4CC2" w:rsidRDefault="004C4CC2" w:rsidP="004C4CC2">
            <w:pPr>
              <w:jc w:val="both"/>
              <w:rPr>
                <w:sz w:val="22"/>
                <w:szCs w:val="22"/>
              </w:rPr>
            </w:pPr>
          </w:p>
        </w:tc>
      </w:tr>
    </w:tbl>
    <w:p w:rsidR="002441AB" w:rsidRPr="004C4CC2" w:rsidRDefault="002441AB" w:rsidP="002441AB">
      <w:pPr>
        <w:rPr>
          <w:sz w:val="22"/>
          <w:szCs w:val="22"/>
        </w:rPr>
      </w:pPr>
    </w:p>
    <w:p w:rsidR="002441AB" w:rsidRPr="004C4CC2" w:rsidRDefault="002441AB" w:rsidP="002441AB">
      <w:pPr>
        <w:rPr>
          <w:sz w:val="22"/>
          <w:szCs w:val="22"/>
        </w:rPr>
      </w:pPr>
    </w:p>
    <w:p w:rsidR="002441AB" w:rsidRPr="004C4CC2" w:rsidRDefault="002441AB" w:rsidP="002441AB">
      <w:pPr>
        <w:rPr>
          <w:sz w:val="22"/>
          <w:szCs w:val="22"/>
        </w:rPr>
      </w:pPr>
    </w:p>
    <w:p w:rsidR="002441AB" w:rsidRPr="004C4CC2" w:rsidRDefault="002441AB" w:rsidP="002441AB">
      <w:pPr>
        <w:rPr>
          <w:sz w:val="22"/>
          <w:szCs w:val="22"/>
        </w:rPr>
      </w:pPr>
      <w:bookmarkStart w:id="0" w:name="_GoBack"/>
      <w:bookmarkEnd w:id="0"/>
    </w:p>
    <w:sectPr w:rsidR="002441AB" w:rsidRPr="004C4CC2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AB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4C4CC2"/>
    <w:rsid w:val="00560E7E"/>
    <w:rsid w:val="00571984"/>
    <w:rsid w:val="005747C2"/>
    <w:rsid w:val="00587F3D"/>
    <w:rsid w:val="00593243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1421"/>
    <w:rsid w:val="008B41A9"/>
    <w:rsid w:val="008D63E9"/>
    <w:rsid w:val="008F0A7E"/>
    <w:rsid w:val="008F7999"/>
    <w:rsid w:val="008F7F95"/>
    <w:rsid w:val="00920182"/>
    <w:rsid w:val="009336C5"/>
    <w:rsid w:val="00976A3A"/>
    <w:rsid w:val="00A713CB"/>
    <w:rsid w:val="00A85A43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A7555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73E0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Pau</cp:lastModifiedBy>
  <cp:revision>5</cp:revision>
  <dcterms:created xsi:type="dcterms:W3CDTF">2019-06-28T07:07:00Z</dcterms:created>
  <dcterms:modified xsi:type="dcterms:W3CDTF">2022-02-28T06:11:00Z</dcterms:modified>
</cp:coreProperties>
</file>