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604B6D" w:rsidP="00FF429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  <w:r w:rsidR="00341062" w:rsidRPr="00DE498A">
              <w:rPr>
                <w:rFonts w:ascii="Cambria" w:hAnsi="Cambria"/>
              </w:rPr>
              <w:t xml:space="preserve"> </w:t>
            </w:r>
            <w:r w:rsidR="003A649C">
              <w:rPr>
                <w:rFonts w:ascii="Cambria" w:hAnsi="Cambria"/>
              </w:rPr>
              <w:t>Personel-Tahakkuk</w:t>
            </w:r>
            <w:r w:rsidR="00427EFD">
              <w:rPr>
                <w:rFonts w:ascii="Cambria" w:hAnsi="Cambria"/>
              </w:rPr>
              <w:t xml:space="preserve"> İşleri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DB3BBD" w:rsidP="00604B6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Tahakkuk</w:t>
            </w:r>
            <w:r w:rsidR="0020240A">
              <w:rPr>
                <w:rFonts w:ascii="Cambria" w:hAnsi="Cambria"/>
              </w:rPr>
              <w:t xml:space="preserve"> ve Satın Alma</w:t>
            </w:r>
            <w:r>
              <w:rPr>
                <w:rFonts w:ascii="Cambria" w:hAnsi="Cambria"/>
              </w:rPr>
              <w:t xml:space="preserve"> Personeli</w:t>
            </w:r>
            <w:r w:rsidR="00F14FB7">
              <w:rPr>
                <w:rFonts w:ascii="Cambria" w:hAnsi="Cambria"/>
              </w:rPr>
              <w:t xml:space="preserve"> </w:t>
            </w:r>
          </w:p>
        </w:tc>
      </w:tr>
      <w:tr w:rsidR="00604B6D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604B6D" w:rsidRPr="00DE498A" w:rsidRDefault="00604B6D" w:rsidP="00604B6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604B6D" w:rsidRPr="0012131F" w:rsidRDefault="00604B6D" w:rsidP="00604B6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A80DF4" w:rsidRDefault="00A80DF4" w:rsidP="006836C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C34C44" w:rsidRDefault="00604B6D" w:rsidP="00C621F8">
            <w:pPr>
              <w:pStyle w:val="AralkYok"/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Pamukkale</w:t>
            </w:r>
            <w:r w:rsidR="00C621F8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C621F8">
              <w:rPr>
                <w:rFonts w:ascii="Cambria" w:hAnsi="Cambria"/>
              </w:rPr>
              <w:t xml:space="preserve"> ile ilgili</w:t>
            </w:r>
            <w:r w:rsidR="00C621F8" w:rsidRPr="0012131F">
              <w:rPr>
                <w:rFonts w:ascii="Cambria" w:hAnsi="Cambria"/>
              </w:rPr>
              <w:t>, etkenlik ve verimlilik ilkelerine uygun olarak yürütülmesi amacıyla</w:t>
            </w:r>
            <w:r w:rsidR="00C621F8">
              <w:rPr>
                <w:rFonts w:ascii="Cambria" w:hAnsi="Cambria"/>
              </w:rPr>
              <w:t xml:space="preserve"> çalışmalar yapmak</w:t>
            </w:r>
            <w:r w:rsidR="00CC1D33">
              <w:rPr>
                <w:rFonts w:ascii="Cambria" w:hAnsi="Cambria"/>
              </w:rPr>
              <w:t xml:space="preserve">, </w:t>
            </w:r>
            <w:r w:rsidR="00CC1D33" w:rsidRPr="00406E87">
              <w:rPr>
                <w:rFonts w:ascii="Cambria" w:hAnsi="Cambria"/>
              </w:rPr>
              <w:t xml:space="preserve">657, </w:t>
            </w:r>
            <w:r w:rsidR="00CC1D33">
              <w:rPr>
                <w:rFonts w:ascii="Cambria" w:hAnsi="Cambria"/>
              </w:rPr>
              <w:t xml:space="preserve">4734, 4735 ve </w:t>
            </w:r>
            <w:r w:rsidR="00CC1D33" w:rsidRPr="00406E87">
              <w:rPr>
                <w:rFonts w:ascii="Cambria" w:hAnsi="Cambria"/>
              </w:rPr>
              <w:t xml:space="preserve">5018 sayılı Kanunlar çerçevesinde alınacak mal ve hizmetlerin hazırlık aşamasından ödeme aşamasına kadar </w:t>
            </w:r>
            <w:r w:rsidR="00CC1D33">
              <w:rPr>
                <w:rFonts w:ascii="Cambria" w:hAnsi="Cambria"/>
              </w:rPr>
              <w:t xml:space="preserve">olan </w:t>
            </w:r>
            <w:r w:rsidR="00CC1D33" w:rsidRPr="00406E87">
              <w:rPr>
                <w:rFonts w:ascii="Cambria" w:hAnsi="Cambria"/>
              </w:rPr>
              <w:t>süreçlerindeki evrak</w:t>
            </w:r>
            <w:r w:rsidR="00CC1D33">
              <w:rPr>
                <w:rFonts w:ascii="Cambria" w:hAnsi="Cambria"/>
              </w:rPr>
              <w:t>,</w:t>
            </w:r>
            <w:r w:rsidR="00CC1D33" w:rsidRPr="00406E87">
              <w:rPr>
                <w:rFonts w:ascii="Cambria" w:hAnsi="Cambria"/>
              </w:rPr>
              <w:t xml:space="preserve"> iş ve işlemlerini yapmak.</w:t>
            </w:r>
            <w:r w:rsidR="00C621F8">
              <w:rPr>
                <w:rFonts w:ascii="Cambria" w:hAnsi="Cambria"/>
              </w:rPr>
              <w:t xml:space="preserve"> </w:t>
            </w:r>
            <w:proofErr w:type="gramEnd"/>
            <w:r w:rsidR="00C621F8">
              <w:rPr>
                <w:rFonts w:ascii="Cambria" w:hAnsi="Cambria"/>
              </w:rPr>
              <w:t>B</w:t>
            </w:r>
            <w:r w:rsidR="00881A97">
              <w:rPr>
                <w:rFonts w:ascii="Cambria" w:hAnsi="Cambria"/>
              </w:rPr>
              <w:t xml:space="preserve">ağlı bulunduğu birim personelinin </w:t>
            </w:r>
            <w:r w:rsidR="0075672D">
              <w:rPr>
                <w:rFonts w:ascii="Cambria" w:hAnsi="Cambria"/>
              </w:rPr>
              <w:t>t</w:t>
            </w:r>
            <w:r w:rsidR="00881A97">
              <w:rPr>
                <w:rFonts w:ascii="Cambria" w:hAnsi="Cambria"/>
              </w:rPr>
              <w:t xml:space="preserve">ahakkuk iş ve </w:t>
            </w:r>
            <w:r w:rsidR="00CC1D33">
              <w:rPr>
                <w:rFonts w:ascii="Cambria" w:hAnsi="Cambria"/>
              </w:rPr>
              <w:t xml:space="preserve">satın alma </w:t>
            </w:r>
            <w:r w:rsidR="00881A97">
              <w:rPr>
                <w:rFonts w:ascii="Cambria" w:hAnsi="Cambria"/>
              </w:rPr>
              <w:t xml:space="preserve">işlerini </w:t>
            </w:r>
            <w:r w:rsidR="000A41CD">
              <w:rPr>
                <w:rFonts w:ascii="Cambria" w:hAnsi="Cambria"/>
              </w:rPr>
              <w:t>yapmak.</w:t>
            </w:r>
            <w:r w:rsidR="0075672D">
              <w:rPr>
                <w:rFonts w:ascii="Cambria" w:hAnsi="Cambria"/>
              </w:rPr>
              <w:t xml:space="preserve"> </w:t>
            </w:r>
          </w:p>
          <w:p w:rsidR="00A80DF4" w:rsidRPr="00DE498A" w:rsidRDefault="00A80DF4" w:rsidP="006836C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8D0400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4F5A52" w:rsidRPr="00DE498A" w:rsidTr="008D0400">
        <w:tc>
          <w:tcPr>
            <w:tcW w:w="9634" w:type="dxa"/>
            <w:shd w:val="clear" w:color="auto" w:fill="FFFFFF" w:themeFill="background1"/>
            <w:vAlign w:val="center"/>
          </w:tcPr>
          <w:p w:rsidR="00F35515" w:rsidRDefault="00F35515" w:rsidP="00F35515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5C37C4" w:rsidRDefault="00DD70D1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Birimin sorumluluğunda gerçekleştirilen,</w:t>
            </w:r>
            <w:r w:rsidR="005C37C4" w:rsidRPr="005C37C4">
              <w:rPr>
                <w:rFonts w:ascii="Cambria" w:hAnsi="Cambria"/>
              </w:rPr>
              <w:t xml:space="preserve"> konferans</w:t>
            </w:r>
            <w:r>
              <w:rPr>
                <w:rFonts w:ascii="Cambria" w:hAnsi="Cambria"/>
              </w:rPr>
              <w:t>, seminer vb.</w:t>
            </w:r>
            <w:r w:rsidR="005C37C4" w:rsidRPr="005C37C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etkinliklere katılmak için gelen kişi/kişilerin </w:t>
            </w:r>
            <w:r w:rsidR="005C37C4" w:rsidRPr="005C37C4">
              <w:rPr>
                <w:rFonts w:ascii="Cambria" w:hAnsi="Cambria"/>
              </w:rPr>
              <w:t>yolluk bildirimlerini, harcama talimatlarını ve Ödeme Emri belgelerini hazırlamak</w:t>
            </w:r>
            <w:r w:rsidR="007D6C32">
              <w:rPr>
                <w:rFonts w:ascii="Cambria" w:hAnsi="Cambria"/>
              </w:rPr>
              <w:t>.</w:t>
            </w:r>
          </w:p>
          <w:p w:rsidR="00AE3F0C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AE3F0C">
              <w:rPr>
                <w:rFonts w:ascii="Cambria" w:hAnsi="Cambria"/>
              </w:rPr>
              <w:t>Personelin</w:t>
            </w:r>
            <w:r w:rsidR="00AE3F0C" w:rsidRPr="00AE3F0C">
              <w:rPr>
                <w:rFonts w:ascii="Cambria" w:hAnsi="Cambria"/>
              </w:rPr>
              <w:t xml:space="preserve"> özlük hakları ile t</w:t>
            </w:r>
            <w:r w:rsidR="007D6C32">
              <w:rPr>
                <w:rFonts w:ascii="Cambria" w:hAnsi="Cambria"/>
              </w:rPr>
              <w:t>üm ödeme evraklarını hazırlamak.</w:t>
            </w:r>
          </w:p>
          <w:p w:rsidR="002C445F" w:rsidRPr="002C445F" w:rsidRDefault="002C445F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2C445F">
              <w:rPr>
                <w:rFonts w:ascii="Cambria" w:hAnsi="Cambria"/>
              </w:rPr>
              <w:t xml:space="preserve">Giderlerin </w:t>
            </w:r>
            <w:r>
              <w:rPr>
                <w:rFonts w:ascii="Cambria" w:hAnsi="Cambria"/>
              </w:rPr>
              <w:t xml:space="preserve">kanun, tüzük, kararname, yönetmelik ve </w:t>
            </w:r>
            <w:r w:rsidRPr="002C445F">
              <w:rPr>
                <w:rFonts w:ascii="Cambria" w:hAnsi="Cambria"/>
              </w:rPr>
              <w:t xml:space="preserve">bütçedeki tertiplere uygun olmasını </w:t>
            </w:r>
            <w:r w:rsidR="0009228B">
              <w:rPr>
                <w:rFonts w:ascii="Cambria" w:hAnsi="Cambria"/>
              </w:rPr>
              <w:t>sağlamak</w:t>
            </w:r>
            <w:r w:rsidRPr="002C445F">
              <w:rPr>
                <w:rFonts w:ascii="Cambria" w:hAnsi="Cambria"/>
              </w:rPr>
              <w:t>.</w:t>
            </w:r>
            <w:proofErr w:type="gramEnd"/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Personelin yurt içi ve yurt dışı geçici görev yollukları ile sürekli görev yollukları için gerekli işlemleri yapmak ve ödeme emri düzenlemek,</w:t>
            </w:r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P</w:t>
            </w:r>
            <w:r w:rsidRPr="004F5A52">
              <w:rPr>
                <w:rFonts w:ascii="Cambria" w:hAnsi="Cambria"/>
              </w:rPr>
              <w:t xml:space="preserve">ersonelin fazla </w:t>
            </w:r>
            <w:r w:rsidR="001050AE">
              <w:rPr>
                <w:rFonts w:ascii="Cambria" w:hAnsi="Cambria"/>
              </w:rPr>
              <w:t>ve yersiz ödemelere ait kişi bor</w:t>
            </w:r>
            <w:r w:rsidRPr="004F5A52">
              <w:rPr>
                <w:rFonts w:ascii="Cambria" w:hAnsi="Cambria"/>
              </w:rPr>
              <w:t xml:space="preserve">cu </w:t>
            </w:r>
            <w:r w:rsidR="00AE3F0C">
              <w:rPr>
                <w:rFonts w:ascii="Cambria" w:hAnsi="Cambria"/>
              </w:rPr>
              <w:t>iş ve işlemlerin</w:t>
            </w:r>
            <w:r w:rsidR="007D6C32">
              <w:rPr>
                <w:rFonts w:ascii="Cambria" w:hAnsi="Cambria"/>
              </w:rPr>
              <w:t>i yapmak.</w:t>
            </w:r>
            <w:proofErr w:type="gramEnd"/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4F5A52">
              <w:rPr>
                <w:rFonts w:ascii="Cambria" w:hAnsi="Cambria"/>
              </w:rPr>
              <w:t>ersonelin sosyal güvenlik giderlerini</w:t>
            </w:r>
            <w:r w:rsidR="00B26149">
              <w:rPr>
                <w:rFonts w:ascii="Cambria" w:hAnsi="Cambria"/>
              </w:rPr>
              <w:t xml:space="preserve"> </w:t>
            </w:r>
            <w:r w:rsidR="007D6C32">
              <w:rPr>
                <w:rFonts w:ascii="Cambria" w:hAnsi="Cambria"/>
              </w:rPr>
              <w:t>SGK bilgi sistemine yüklemek.</w:t>
            </w:r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Görev ve sorumluluk alanı ile ilgili </w:t>
            </w:r>
            <w:r w:rsidRPr="004F5A52">
              <w:rPr>
                <w:rFonts w:ascii="Cambria" w:hAnsi="Cambria"/>
              </w:rPr>
              <w:t>her türlü yazışmaları yapmak</w:t>
            </w:r>
            <w:r w:rsidR="00B26149">
              <w:rPr>
                <w:rFonts w:ascii="Cambria" w:hAnsi="Cambria"/>
              </w:rPr>
              <w:t xml:space="preserve">, </w:t>
            </w:r>
            <w:r w:rsidR="009D33FC">
              <w:rPr>
                <w:rFonts w:ascii="Cambria" w:hAnsi="Cambria"/>
              </w:rPr>
              <w:t xml:space="preserve">yazışmalarını </w:t>
            </w:r>
            <w:r w:rsidR="008F2B79">
              <w:rPr>
                <w:rFonts w:ascii="Cambria" w:hAnsi="Cambria"/>
              </w:rPr>
              <w:t xml:space="preserve">ilgili birimler ile </w:t>
            </w:r>
            <w:r w:rsidR="009D33FC">
              <w:rPr>
                <w:rFonts w:ascii="Cambria" w:hAnsi="Cambria"/>
              </w:rPr>
              <w:t>eşgüdümlü olarak yürütmek</w:t>
            </w:r>
            <w:r w:rsidR="007D6C32">
              <w:rPr>
                <w:rFonts w:ascii="Cambria" w:hAnsi="Cambria"/>
              </w:rPr>
              <w:t>.</w:t>
            </w:r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Ön mali kontrol işlemi gerektiren evrakları hazırlamak, takibinin yapmak </w:t>
            </w:r>
            <w:r w:rsidR="007D6C32">
              <w:rPr>
                <w:rFonts w:ascii="Cambria" w:hAnsi="Cambria"/>
              </w:rPr>
              <w:t>ve ödeme belgelerini hazırlamak.</w:t>
            </w:r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Personelin icra, ikraz gibi kesintilere ilişkin hesaplarını tutmak, bu kesintiler ile ilgili işleri yapmak, sonuçlandır</w:t>
            </w:r>
            <w:r w:rsidR="007D6C32">
              <w:rPr>
                <w:rFonts w:ascii="Cambria" w:hAnsi="Cambria"/>
              </w:rPr>
              <w:t>mak ve ilgili birimlere iletmek.</w:t>
            </w:r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4F5A52">
              <w:rPr>
                <w:rFonts w:ascii="Cambria" w:hAnsi="Cambria"/>
              </w:rPr>
              <w:t>Personele ait emekli kesenekleri icmal bordrolarını hazırla</w:t>
            </w:r>
            <w:r w:rsidR="007D6C32">
              <w:rPr>
                <w:rFonts w:ascii="Cambria" w:hAnsi="Cambria"/>
              </w:rPr>
              <w:t>mak ve ilgili birimlere iletmek.</w:t>
            </w:r>
            <w:proofErr w:type="gramEnd"/>
          </w:p>
          <w:p w:rsidR="00F35515" w:rsidRDefault="00F35515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4F5A52">
              <w:rPr>
                <w:rFonts w:ascii="Cambria" w:hAnsi="Cambria"/>
              </w:rPr>
              <w:t>Personel</w:t>
            </w:r>
            <w:r>
              <w:rPr>
                <w:rFonts w:ascii="Cambria" w:hAnsi="Cambria"/>
              </w:rPr>
              <w:t>in</w:t>
            </w:r>
            <w:r w:rsidRPr="004F5A52">
              <w:rPr>
                <w:rFonts w:ascii="Cambria" w:hAnsi="Cambria"/>
              </w:rPr>
              <w:t xml:space="preserve"> giysi yardımını </w:t>
            </w:r>
            <w:r>
              <w:rPr>
                <w:rFonts w:ascii="Cambria" w:hAnsi="Cambria"/>
              </w:rPr>
              <w:t>işlemlerini takip etmek, hazırlamak</w:t>
            </w:r>
            <w:r w:rsidR="007D6C32">
              <w:rPr>
                <w:rFonts w:ascii="Cambria" w:hAnsi="Cambria"/>
              </w:rPr>
              <w:t xml:space="preserve"> gerekli iş ve işlemleri yapmak.</w:t>
            </w:r>
            <w:proofErr w:type="gramEnd"/>
          </w:p>
          <w:p w:rsidR="00F35515" w:rsidRDefault="00F35515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C437C0">
              <w:rPr>
                <w:rFonts w:ascii="Cambria" w:hAnsi="Cambria"/>
              </w:rPr>
              <w:t>Pe</w:t>
            </w:r>
            <w:r>
              <w:rPr>
                <w:rFonts w:ascii="Cambria" w:hAnsi="Cambria"/>
              </w:rPr>
              <w:t xml:space="preserve">rsonelin </w:t>
            </w:r>
            <w:r w:rsidRPr="00C437C0">
              <w:rPr>
                <w:rFonts w:ascii="Cambria" w:hAnsi="Cambria"/>
              </w:rPr>
              <w:t>kademe ilerlemesi, terfilerine ilişkin</w:t>
            </w:r>
            <w:r w:rsidR="00E40264">
              <w:rPr>
                <w:rFonts w:ascii="Cambria" w:hAnsi="Cambria"/>
              </w:rPr>
              <w:t xml:space="preserve"> iş</w:t>
            </w:r>
            <w:r>
              <w:rPr>
                <w:rFonts w:ascii="Cambria" w:hAnsi="Cambria"/>
              </w:rPr>
              <w:t xml:space="preserve"> ve işlemleri</w:t>
            </w:r>
            <w:r w:rsidRPr="00C437C0">
              <w:rPr>
                <w:rFonts w:ascii="Cambria" w:hAnsi="Cambria"/>
              </w:rPr>
              <w:t xml:space="preserve"> takip etmek, KBS ve ÜBYS yazışma ve giriş işlemlerini yapmak</w:t>
            </w:r>
            <w:r w:rsidR="007D6C32">
              <w:rPr>
                <w:rFonts w:ascii="Cambria" w:hAnsi="Cambria"/>
              </w:rPr>
              <w:t>.</w:t>
            </w:r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Tahakkuk (Ödeme Emri) işlemlerini</w:t>
            </w:r>
            <w:r w:rsidR="007D6C32">
              <w:rPr>
                <w:rFonts w:ascii="Cambria" w:hAnsi="Cambria"/>
              </w:rPr>
              <w:t xml:space="preserve"> yapmak, imzaya göndermek.</w:t>
            </w:r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Tüm Ödeme Emri evraklarını tahakkuk işlemi bittikten sonra teslim tutanağı ile Strateji ve Geliştirme Daire Başkanlığına teslim etmek ve dosyalayıp arşivlemek. </w:t>
            </w:r>
          </w:p>
          <w:p w:rsid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Yatırım ve analitik bütçelerinin hazırlanmasında </w:t>
            </w:r>
            <w:r w:rsidR="00B8019A">
              <w:rPr>
                <w:rFonts w:ascii="Cambria" w:hAnsi="Cambria"/>
              </w:rPr>
              <w:t xml:space="preserve">görevli diğer personel ile </w:t>
            </w:r>
            <w:r w:rsidR="00B8019A" w:rsidRPr="004F5A52">
              <w:rPr>
                <w:rFonts w:ascii="Cambria" w:hAnsi="Cambria"/>
              </w:rPr>
              <w:t>eşgüdümlü olarak</w:t>
            </w:r>
            <w:r w:rsidRPr="004F5A52">
              <w:rPr>
                <w:rFonts w:ascii="Cambria" w:hAnsi="Cambria"/>
              </w:rPr>
              <w:t xml:space="preserve"> çalışır.</w:t>
            </w:r>
          </w:p>
          <w:p w:rsidR="004F5A52" w:rsidRDefault="00B8019A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B8019A">
              <w:rPr>
                <w:rFonts w:ascii="Cambria" w:hAnsi="Cambria"/>
              </w:rPr>
              <w:t xml:space="preserve">Personel giderleri ile </w:t>
            </w:r>
            <w:r w:rsidR="006C2A58">
              <w:rPr>
                <w:rFonts w:ascii="Cambria" w:hAnsi="Cambria"/>
              </w:rPr>
              <w:t xml:space="preserve">ilgili </w:t>
            </w:r>
            <w:r w:rsidR="004F5A52" w:rsidRPr="00B8019A">
              <w:rPr>
                <w:rFonts w:ascii="Cambria" w:hAnsi="Cambria"/>
              </w:rPr>
              <w:t xml:space="preserve">ödenek </w:t>
            </w:r>
            <w:r w:rsidR="00B26149">
              <w:rPr>
                <w:rFonts w:ascii="Cambria" w:hAnsi="Cambria"/>
              </w:rPr>
              <w:t>durumlarını</w:t>
            </w:r>
            <w:r w:rsidRPr="00B8019A">
              <w:rPr>
                <w:rFonts w:ascii="Cambria" w:hAnsi="Cambria"/>
              </w:rPr>
              <w:t xml:space="preserve"> kontrol edip, en yakın </w:t>
            </w:r>
            <w:r>
              <w:rPr>
                <w:rFonts w:ascii="Cambria" w:hAnsi="Cambria"/>
              </w:rPr>
              <w:t>yöneticiyi</w:t>
            </w:r>
            <w:r w:rsidR="007D6C32">
              <w:rPr>
                <w:rFonts w:ascii="Cambria" w:hAnsi="Cambria"/>
              </w:rPr>
              <w:t xml:space="preserve"> bilgilendirmek.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Faaliyet alanı ile ilgili kendisine havale edilen veya istenen iş ve işler ile evrakların/yazıların gereğini eşgüdümlü olarak yapmak, cevap yazılarını hazırlamak(kurum içi-kurum dışı), paraflamak ilgili üst yönetici/yönetic</w:t>
            </w:r>
            <w:r w:rsidR="007D6C32">
              <w:rPr>
                <w:rFonts w:ascii="Cambria" w:hAnsi="Cambria"/>
              </w:rPr>
              <w:t>ilerin onayına/parafına sunmak.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Görevi ile ilgili mevzuatları takip ederek değişen me</w:t>
            </w:r>
            <w:r w:rsidR="007D6C32">
              <w:rPr>
                <w:rFonts w:ascii="Cambria" w:hAnsi="Cambria"/>
              </w:rPr>
              <w:t>vzuatları amirlerine bildirmek.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Görevi ile ilgili her türlü evrakı standart dosya düzenine göre hazırlamak, dosyalamak ve arşive kaldırmak. 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Gelen satın alma taleplerini birim amirinin direktifleri doğrultusunda yapmak.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lastRenderedPageBreak/>
              <w:t>Satın alma taleplerini mevcut ödenek durumlarını dikkate alarak takip etmek ve birim amirine bilgi vermek.</w:t>
            </w:r>
          </w:p>
          <w:p w:rsidR="00CC1D33" w:rsidRPr="00CC1D33" w:rsidRDefault="00CC1D33" w:rsidP="00000959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CC1D33">
              <w:rPr>
                <w:rFonts w:ascii="Cambria" w:hAnsi="Cambria"/>
              </w:rPr>
              <w:t xml:space="preserve">Strateji Daire Başkanlığınca ödeme onayı verilen evrakları ödeme kalemlerine göre </w:t>
            </w:r>
            <w:r w:rsidR="00E40264">
              <w:rPr>
                <w:rFonts w:ascii="Cambria" w:hAnsi="Cambria"/>
              </w:rPr>
              <w:t>tanzim ederek dosyalamak.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Çalışma Esasları ile il</w:t>
            </w:r>
            <w:r w:rsidR="00E40264">
              <w:rPr>
                <w:rFonts w:ascii="Cambria" w:hAnsi="Cambria"/>
              </w:rPr>
              <w:t>gili plan ve programları yapmak.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Birimi ile ilgili yazıları teslim almak ve tutanakları imzalamak. 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Tüm satın alma iş ve işlemlerini kanun, tüzük, kararname, yönetmelik ve bütçedeki tertiplere uygun yapmak,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Muayenesi ve/veya kontrolü gereken taşınır malzemelerin tahlil ve kontrolünü takip etmek, 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Satın alınan tüketim ve demirbaş malzemeleri kayıt altına almak için ambar memuruna teslim etmek,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Mal ve hizmet alımına yönelik olarak doğrudan temin yoluyla veya açık ihale yöntemi, belli istekliler arasında açık ihale yöntemi ve pazarlık yöntemi ile yapılan ihalelerde; ihtiyacın belirlenmesi aşamasından, ödeme emri evrakının düzenlenmesi aşamasına kadar geçen süreçleri yürütmek, takip ve kontrolünü yapmak.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Devlet Malzeme Ofisi Genel Müdürlüğünden yapılan alımlara ilişkin olarak; ihtiyaçların belirlenmesinden, ödeme emri evrakının düzenlenmesine kadar geçen süreçleri yürütmek, takip ve kontrolünü yapmak.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EE1B94">
              <w:rPr>
                <w:rFonts w:ascii="Cambria" w:hAnsi="Cambria"/>
              </w:rPr>
              <w:t>prose</w:t>
            </w:r>
            <w:r w:rsidR="00E40264">
              <w:rPr>
                <w:rFonts w:ascii="Cambria" w:hAnsi="Cambria"/>
              </w:rPr>
              <w:t>dürlerine</w:t>
            </w:r>
            <w:proofErr w:type="gramEnd"/>
            <w:r w:rsidR="00E40264">
              <w:rPr>
                <w:rFonts w:ascii="Cambria" w:hAnsi="Cambria"/>
              </w:rPr>
              <w:t xml:space="preserve"> uygun olarak yürütmek.</w:t>
            </w:r>
          </w:p>
          <w:p w:rsidR="00CC1D33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</w:t>
            </w:r>
            <w:r w:rsidR="00E40264">
              <w:rPr>
                <w:rFonts w:ascii="Cambria" w:hAnsi="Cambria"/>
              </w:rPr>
              <w:t>.</w:t>
            </w:r>
          </w:p>
          <w:p w:rsidR="00F35515" w:rsidRPr="004F5A52" w:rsidRDefault="0040547A" w:rsidP="00815851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Tahakkuk </w:t>
            </w:r>
            <w:r w:rsidR="00CC1D33">
              <w:rPr>
                <w:rFonts w:ascii="Cambria" w:hAnsi="Cambria"/>
              </w:rPr>
              <w:t xml:space="preserve">ve Satın Alma </w:t>
            </w:r>
            <w:r>
              <w:rPr>
                <w:rFonts w:ascii="Cambria" w:hAnsi="Cambria"/>
              </w:rPr>
              <w:t>Personeli</w:t>
            </w:r>
            <w:r w:rsidRPr="002C445F">
              <w:rPr>
                <w:rFonts w:ascii="Cambria" w:hAnsi="Cambria"/>
              </w:rPr>
              <w:t>, yukarıda</w:t>
            </w:r>
            <w:r w:rsidRPr="0078170B">
              <w:rPr>
                <w:rFonts w:ascii="Cambria" w:hAnsi="Cambria"/>
              </w:rPr>
              <w:t xml:space="preserve"> yazılı olan bütün bu görevleri kanunlara ve yönetmeliklere uygun olarak yerine getirirken Fakülte Sekreterine, </w:t>
            </w:r>
            <w:proofErr w:type="gramStart"/>
            <w:r w:rsidR="00D9762C">
              <w:rPr>
                <w:rFonts w:ascii="Cambria" w:hAnsi="Cambria"/>
              </w:rPr>
              <w:t xml:space="preserve">Dekan </w:t>
            </w:r>
            <w:r w:rsidRPr="0078170B">
              <w:rPr>
                <w:rFonts w:ascii="Cambria" w:hAnsi="Cambria"/>
              </w:rPr>
              <w:t xml:space="preserve"> Yardımcısına</w:t>
            </w:r>
            <w:proofErr w:type="gramEnd"/>
            <w:r w:rsidR="00815851">
              <w:rPr>
                <w:rFonts w:ascii="Cambria" w:hAnsi="Cambria"/>
              </w:rPr>
              <w:t xml:space="preserve"> ve</w:t>
            </w:r>
            <w:bookmarkStart w:id="0" w:name="_GoBack"/>
            <w:bookmarkEnd w:id="0"/>
            <w:r w:rsidRPr="0078170B">
              <w:rPr>
                <w:rFonts w:ascii="Cambria" w:hAnsi="Cambria"/>
              </w:rPr>
              <w:t xml:space="preserve"> Dekana karşı sorumludur. </w:t>
            </w:r>
          </w:p>
        </w:tc>
      </w:tr>
    </w:tbl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962698" w:rsidRPr="00DE498A" w:rsidTr="00AF00E4">
        <w:tc>
          <w:tcPr>
            <w:tcW w:w="4814" w:type="dxa"/>
            <w:shd w:val="clear" w:color="auto" w:fill="F2F2F2" w:themeFill="background1" w:themeFillShade="F2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962698" w:rsidRPr="00DE498A" w:rsidTr="00AF00E4">
        <w:tc>
          <w:tcPr>
            <w:tcW w:w="4814" w:type="dxa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62698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962698" w:rsidRPr="00DE498A" w:rsidTr="00AF00E4">
        <w:tc>
          <w:tcPr>
            <w:tcW w:w="4814" w:type="dxa"/>
          </w:tcPr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</w:tc>
      </w:tr>
    </w:tbl>
    <w:p w:rsidR="00962698" w:rsidRDefault="00962698" w:rsidP="00962698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49D" w:rsidRDefault="00DC049D" w:rsidP="00534F7F">
      <w:pPr>
        <w:spacing w:after="0" w:line="240" w:lineRule="auto"/>
      </w:pPr>
      <w:r>
        <w:separator/>
      </w:r>
    </w:p>
  </w:endnote>
  <w:endnote w:type="continuationSeparator" w:id="0">
    <w:p w:rsidR="00DC049D" w:rsidRDefault="00DC049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5DA" w:rsidRDefault="002B75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04B6D" w:rsidRPr="0081560B" w:rsidTr="004023B0">
      <w:trPr>
        <w:trHeight w:val="559"/>
      </w:trPr>
      <w:tc>
        <w:tcPr>
          <w:tcW w:w="666" w:type="dxa"/>
        </w:tcPr>
        <w:p w:rsidR="00604B6D" w:rsidRPr="00C4163E" w:rsidRDefault="00604B6D" w:rsidP="00604B6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604B6D" w:rsidRPr="00171789" w:rsidRDefault="00604B6D" w:rsidP="00604B6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604B6D" w:rsidRPr="00171789" w:rsidRDefault="00604B6D" w:rsidP="00604B6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04B6D" w:rsidRPr="0081560B" w:rsidRDefault="00604B6D" w:rsidP="00604B6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604B6D" w:rsidRPr="0081560B" w:rsidRDefault="00604B6D" w:rsidP="00604B6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1585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1585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C04CC" w:rsidRPr="000C04CC" w:rsidRDefault="000C04CC" w:rsidP="00604B6D">
    <w:pPr>
      <w:pStyle w:val="AltBilgi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5DA" w:rsidRDefault="002B75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49D" w:rsidRDefault="00DC049D" w:rsidP="00534F7F">
      <w:pPr>
        <w:spacing w:after="0" w:line="240" w:lineRule="auto"/>
      </w:pPr>
      <w:r>
        <w:separator/>
      </w:r>
    </w:p>
  </w:footnote>
  <w:footnote w:type="continuationSeparator" w:id="0">
    <w:p w:rsidR="00DC049D" w:rsidRDefault="00DC049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5DA" w:rsidRDefault="002B75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604B6D" w:rsidTr="00715C4E">
      <w:trPr>
        <w:trHeight w:val="189"/>
      </w:trPr>
      <w:tc>
        <w:tcPr>
          <w:tcW w:w="2547" w:type="dxa"/>
          <w:vMerge w:val="restart"/>
        </w:tcPr>
        <w:p w:rsidR="00604B6D" w:rsidRDefault="00604B6D" w:rsidP="00604B6D">
          <w:pPr>
            <w:pStyle w:val="stBilgi"/>
            <w:ind w:left="-115" w:right="-110"/>
          </w:pPr>
          <w:r>
            <w:rPr>
              <w:noProof/>
              <w:color w:val="0000FF"/>
              <w:lang w:eastAsia="tr-TR"/>
            </w:rPr>
            <w:drawing>
              <wp:inline distT="0" distB="0" distL="0" distR="0" wp14:anchorId="5E0EBB9A" wp14:editId="763FE267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04B6D" w:rsidRPr="0092378E" w:rsidRDefault="00604B6D" w:rsidP="00604B6D">
          <w:pPr>
            <w:pStyle w:val="stBilgi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  <w:lang w:eastAsia="tr-TR"/>
            </w:rPr>
            <w:drawing>
              <wp:inline distT="0" distB="0" distL="0" distR="0" wp14:anchorId="0BDD72FF" wp14:editId="49915191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2B75DA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GRT-0010</w:t>
          </w:r>
        </w:p>
      </w:tc>
    </w:tr>
    <w:tr w:rsidR="00604B6D" w:rsidTr="00715C4E">
      <w:trPr>
        <w:trHeight w:val="187"/>
      </w:trPr>
      <w:tc>
        <w:tcPr>
          <w:tcW w:w="2547" w:type="dxa"/>
          <w:vMerge/>
        </w:tcPr>
        <w:p w:rsidR="00604B6D" w:rsidRDefault="00604B6D" w:rsidP="00604B6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04B6D" w:rsidRDefault="00604B6D" w:rsidP="00604B6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604B6D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604B6D" w:rsidTr="00715C4E">
      <w:trPr>
        <w:trHeight w:val="187"/>
      </w:trPr>
      <w:tc>
        <w:tcPr>
          <w:tcW w:w="2547" w:type="dxa"/>
          <w:vMerge/>
        </w:tcPr>
        <w:p w:rsidR="00604B6D" w:rsidRDefault="00604B6D" w:rsidP="00604B6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04B6D" w:rsidRDefault="00604B6D" w:rsidP="00604B6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604B6D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604B6D" w:rsidTr="00715C4E">
      <w:trPr>
        <w:trHeight w:val="220"/>
      </w:trPr>
      <w:tc>
        <w:tcPr>
          <w:tcW w:w="2547" w:type="dxa"/>
          <w:vMerge/>
        </w:tcPr>
        <w:p w:rsidR="00604B6D" w:rsidRDefault="00604B6D" w:rsidP="00604B6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04B6D" w:rsidRDefault="00604B6D" w:rsidP="00604B6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604B6D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5DA" w:rsidRDefault="002B75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957792F"/>
    <w:multiLevelType w:val="hybridMultilevel"/>
    <w:tmpl w:val="8E8C26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28FA"/>
    <w:multiLevelType w:val="multilevel"/>
    <w:tmpl w:val="60CAA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45183"/>
    <w:rsid w:val="00061C19"/>
    <w:rsid w:val="00091589"/>
    <w:rsid w:val="0009228B"/>
    <w:rsid w:val="000A3FC3"/>
    <w:rsid w:val="000A41CD"/>
    <w:rsid w:val="000C04CC"/>
    <w:rsid w:val="000E330F"/>
    <w:rsid w:val="00102692"/>
    <w:rsid w:val="001050AE"/>
    <w:rsid w:val="0013037B"/>
    <w:rsid w:val="00164950"/>
    <w:rsid w:val="0016547C"/>
    <w:rsid w:val="00166C41"/>
    <w:rsid w:val="00167ACC"/>
    <w:rsid w:val="00172ADA"/>
    <w:rsid w:val="001842CA"/>
    <w:rsid w:val="001B289B"/>
    <w:rsid w:val="001C2C4E"/>
    <w:rsid w:val="001D6016"/>
    <w:rsid w:val="001E4576"/>
    <w:rsid w:val="001F6791"/>
    <w:rsid w:val="0020240A"/>
    <w:rsid w:val="0023302F"/>
    <w:rsid w:val="00236E1E"/>
    <w:rsid w:val="0026786F"/>
    <w:rsid w:val="002B2944"/>
    <w:rsid w:val="002B3AA0"/>
    <w:rsid w:val="002B6BDC"/>
    <w:rsid w:val="002B75DA"/>
    <w:rsid w:val="002C0A2B"/>
    <w:rsid w:val="002C445F"/>
    <w:rsid w:val="002E7330"/>
    <w:rsid w:val="0032238E"/>
    <w:rsid w:val="0032265A"/>
    <w:rsid w:val="003230A8"/>
    <w:rsid w:val="00325252"/>
    <w:rsid w:val="003303FE"/>
    <w:rsid w:val="00341062"/>
    <w:rsid w:val="003617EF"/>
    <w:rsid w:val="00393BCE"/>
    <w:rsid w:val="003A649C"/>
    <w:rsid w:val="003B5D66"/>
    <w:rsid w:val="003C2817"/>
    <w:rsid w:val="003D652B"/>
    <w:rsid w:val="003E6C53"/>
    <w:rsid w:val="004023B0"/>
    <w:rsid w:val="0040547A"/>
    <w:rsid w:val="00427EFD"/>
    <w:rsid w:val="004A143E"/>
    <w:rsid w:val="004D6EB8"/>
    <w:rsid w:val="004D7795"/>
    <w:rsid w:val="004E2A62"/>
    <w:rsid w:val="004F27F3"/>
    <w:rsid w:val="004F5A52"/>
    <w:rsid w:val="00524FB0"/>
    <w:rsid w:val="00526B5A"/>
    <w:rsid w:val="00534F7F"/>
    <w:rsid w:val="0054789B"/>
    <w:rsid w:val="00551B24"/>
    <w:rsid w:val="0055738B"/>
    <w:rsid w:val="00565BFA"/>
    <w:rsid w:val="00584DF3"/>
    <w:rsid w:val="00586A9C"/>
    <w:rsid w:val="005A38EB"/>
    <w:rsid w:val="005B5AD0"/>
    <w:rsid w:val="005B6D4E"/>
    <w:rsid w:val="005C08E9"/>
    <w:rsid w:val="005C37C4"/>
    <w:rsid w:val="005E1687"/>
    <w:rsid w:val="006040B2"/>
    <w:rsid w:val="00604B6D"/>
    <w:rsid w:val="0061369F"/>
    <w:rsid w:val="0061636C"/>
    <w:rsid w:val="0062150D"/>
    <w:rsid w:val="00627720"/>
    <w:rsid w:val="006325A7"/>
    <w:rsid w:val="006355A1"/>
    <w:rsid w:val="00635A92"/>
    <w:rsid w:val="00646769"/>
    <w:rsid w:val="0064705C"/>
    <w:rsid w:val="00682605"/>
    <w:rsid w:val="00682A32"/>
    <w:rsid w:val="006836CB"/>
    <w:rsid w:val="00696996"/>
    <w:rsid w:val="006C2A58"/>
    <w:rsid w:val="006C40E1"/>
    <w:rsid w:val="006C7D11"/>
    <w:rsid w:val="006D3B1F"/>
    <w:rsid w:val="006F608E"/>
    <w:rsid w:val="00706420"/>
    <w:rsid w:val="00714096"/>
    <w:rsid w:val="00715C4E"/>
    <w:rsid w:val="00726038"/>
    <w:rsid w:val="007304E0"/>
    <w:rsid w:val="00735444"/>
    <w:rsid w:val="0073606C"/>
    <w:rsid w:val="0075616C"/>
    <w:rsid w:val="0075672D"/>
    <w:rsid w:val="00775EA7"/>
    <w:rsid w:val="00775F29"/>
    <w:rsid w:val="00794A5F"/>
    <w:rsid w:val="007B0CFD"/>
    <w:rsid w:val="007B79ED"/>
    <w:rsid w:val="007D4382"/>
    <w:rsid w:val="007D6C32"/>
    <w:rsid w:val="007E1161"/>
    <w:rsid w:val="00810A48"/>
    <w:rsid w:val="00815851"/>
    <w:rsid w:val="00830A95"/>
    <w:rsid w:val="0085454F"/>
    <w:rsid w:val="0086003A"/>
    <w:rsid w:val="00881A97"/>
    <w:rsid w:val="008845DB"/>
    <w:rsid w:val="00887F01"/>
    <w:rsid w:val="008D0400"/>
    <w:rsid w:val="008D371C"/>
    <w:rsid w:val="008F2B79"/>
    <w:rsid w:val="00962698"/>
    <w:rsid w:val="0096625E"/>
    <w:rsid w:val="009713E5"/>
    <w:rsid w:val="009B6181"/>
    <w:rsid w:val="009C1368"/>
    <w:rsid w:val="009D33FC"/>
    <w:rsid w:val="00A10E55"/>
    <w:rsid w:val="00A125A4"/>
    <w:rsid w:val="00A22546"/>
    <w:rsid w:val="00A354CE"/>
    <w:rsid w:val="00A45E0C"/>
    <w:rsid w:val="00A54008"/>
    <w:rsid w:val="00A80DF4"/>
    <w:rsid w:val="00A83328"/>
    <w:rsid w:val="00A83390"/>
    <w:rsid w:val="00AC12B5"/>
    <w:rsid w:val="00AE3F0C"/>
    <w:rsid w:val="00B06EC8"/>
    <w:rsid w:val="00B26149"/>
    <w:rsid w:val="00B8019A"/>
    <w:rsid w:val="00B912E6"/>
    <w:rsid w:val="00B94075"/>
    <w:rsid w:val="00BC7571"/>
    <w:rsid w:val="00BC7F23"/>
    <w:rsid w:val="00BE22F5"/>
    <w:rsid w:val="00C305C2"/>
    <w:rsid w:val="00C34C44"/>
    <w:rsid w:val="00C53C77"/>
    <w:rsid w:val="00C621F8"/>
    <w:rsid w:val="00CB6A3F"/>
    <w:rsid w:val="00CC1D33"/>
    <w:rsid w:val="00D1112B"/>
    <w:rsid w:val="00D23714"/>
    <w:rsid w:val="00D34F0E"/>
    <w:rsid w:val="00D35A4A"/>
    <w:rsid w:val="00D61693"/>
    <w:rsid w:val="00D65310"/>
    <w:rsid w:val="00D9762C"/>
    <w:rsid w:val="00DB3BBD"/>
    <w:rsid w:val="00DC049D"/>
    <w:rsid w:val="00DD51A4"/>
    <w:rsid w:val="00DD70D1"/>
    <w:rsid w:val="00DE498A"/>
    <w:rsid w:val="00DE7DA1"/>
    <w:rsid w:val="00DF1926"/>
    <w:rsid w:val="00E13F11"/>
    <w:rsid w:val="00E3436C"/>
    <w:rsid w:val="00E36113"/>
    <w:rsid w:val="00E40264"/>
    <w:rsid w:val="00E522EB"/>
    <w:rsid w:val="00E66B9F"/>
    <w:rsid w:val="00E87FEE"/>
    <w:rsid w:val="00E979A5"/>
    <w:rsid w:val="00EC0A1D"/>
    <w:rsid w:val="00ED61D4"/>
    <w:rsid w:val="00EE3346"/>
    <w:rsid w:val="00F06511"/>
    <w:rsid w:val="00F14FB7"/>
    <w:rsid w:val="00F35515"/>
    <w:rsid w:val="00F544B4"/>
    <w:rsid w:val="00F55E37"/>
    <w:rsid w:val="00FA4D7F"/>
    <w:rsid w:val="00FA6D95"/>
    <w:rsid w:val="00FB059E"/>
    <w:rsid w:val="00FC3E69"/>
    <w:rsid w:val="00FC4D7B"/>
    <w:rsid w:val="00FD6A9C"/>
    <w:rsid w:val="00FF3333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616F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5</cp:revision>
  <dcterms:created xsi:type="dcterms:W3CDTF">2019-10-17T11:28:00Z</dcterms:created>
  <dcterms:modified xsi:type="dcterms:W3CDTF">2019-10-28T07:20:00Z</dcterms:modified>
</cp:coreProperties>
</file>