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4E4C" w14:textId="77777777" w:rsidR="00045E0B" w:rsidRPr="00045E0B" w:rsidRDefault="00045E0B" w:rsidP="00045E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E0B">
        <w:rPr>
          <w:rFonts w:ascii="Times New Roman" w:hAnsi="Times New Roman" w:cs="Times New Roman"/>
          <w:b/>
          <w:sz w:val="24"/>
          <w:szCs w:val="24"/>
        </w:rPr>
        <w:t xml:space="preserve">EGEKAF’26 </w:t>
      </w:r>
      <w:proofErr w:type="spellStart"/>
      <w:r w:rsidRPr="00045E0B">
        <w:rPr>
          <w:rFonts w:ascii="Times New Roman" w:hAnsi="Times New Roman" w:cs="Times New Roman"/>
          <w:b/>
          <w:sz w:val="24"/>
          <w:szCs w:val="24"/>
        </w:rPr>
        <w:t>Katılımcı</w:t>
      </w:r>
      <w:proofErr w:type="spellEnd"/>
      <w:r w:rsidRPr="00045E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/>
          <w:sz w:val="24"/>
          <w:szCs w:val="24"/>
        </w:rPr>
        <w:t>Memnuniyeti</w:t>
      </w:r>
      <w:proofErr w:type="spellEnd"/>
      <w:r w:rsidRPr="00045E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  <w:r w:rsidRPr="00045E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/>
          <w:sz w:val="24"/>
          <w:szCs w:val="24"/>
        </w:rPr>
        <w:t>Raporu</w:t>
      </w:r>
      <w:proofErr w:type="spellEnd"/>
      <w:r w:rsidRPr="00045E0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45E0B">
        <w:rPr>
          <w:rFonts w:ascii="Times New Roman" w:hAnsi="Times New Roman" w:cs="Times New Roman"/>
          <w:b/>
          <w:sz w:val="24"/>
          <w:szCs w:val="24"/>
        </w:rPr>
        <w:t>Pamukkale</w:t>
      </w:r>
      <w:proofErr w:type="spellEnd"/>
      <w:r w:rsidRPr="00045E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/>
          <w:sz w:val="24"/>
          <w:szCs w:val="24"/>
        </w:rPr>
        <w:t>Üniversitesi</w:t>
      </w:r>
      <w:proofErr w:type="spellEnd"/>
      <w:r w:rsidRPr="00045E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/>
          <w:sz w:val="24"/>
          <w:szCs w:val="24"/>
        </w:rPr>
        <w:t>Öğrenci</w:t>
      </w:r>
      <w:proofErr w:type="spellEnd"/>
      <w:r w:rsidRPr="00045E0B">
        <w:rPr>
          <w:rFonts w:ascii="Times New Roman" w:hAnsi="Times New Roman" w:cs="Times New Roman"/>
          <w:b/>
          <w:sz w:val="24"/>
          <w:szCs w:val="24"/>
        </w:rPr>
        <w:t xml:space="preserve"> Geri </w:t>
      </w:r>
      <w:proofErr w:type="spellStart"/>
      <w:r w:rsidRPr="00045E0B">
        <w:rPr>
          <w:rFonts w:ascii="Times New Roman" w:hAnsi="Times New Roman" w:cs="Times New Roman"/>
          <w:b/>
          <w:sz w:val="24"/>
          <w:szCs w:val="24"/>
        </w:rPr>
        <w:t>Bildirimleri</w:t>
      </w:r>
      <w:proofErr w:type="spellEnd"/>
    </w:p>
    <w:p w14:paraId="322CBEA6" w14:textId="77777777" w:rsidR="00045E0B" w:rsidRDefault="00045E0B" w:rsidP="00045E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1CB478" w14:textId="40909FB3" w:rsidR="00F26D6E" w:rsidRPr="00045E0B" w:rsidRDefault="00045E0B" w:rsidP="00045E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E0B">
        <w:rPr>
          <w:rFonts w:ascii="Times New Roman" w:hAnsi="Times New Roman" w:cs="Times New Roman"/>
          <w:bCs/>
          <w:sz w:val="24"/>
          <w:szCs w:val="24"/>
        </w:rPr>
        <w:t xml:space="preserve">Bu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rapor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Pamukkale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Üniversitesi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Kariyer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Planlama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Uygulama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Araştırma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Merkezi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koordinasyonunda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EGEKAF’26’ya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katılan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öğrencilerin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fuar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deneyimine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ilişkin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memnuniyet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düzeylerini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değerlendirme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amacıyla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hazırlanmıştır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EGEKAF’26, Aydın Adnan Menderes Üniversitesi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ev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sahipliğinde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gerçekleştirilmiştir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Pamukkale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Üniversitesi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tarafından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fuara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ulaşım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desteği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sağlanmış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öğrencilerin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etkinliğe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katılımı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organize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edilmiştir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Analizler,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fuara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katılan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Pamukkale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Üniversitesi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öğrencileri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arasından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araştırmaya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gönüllü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olarak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katılan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166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öğrencinin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yanıtlarına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dayanmaktadır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Maddeler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1–5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arası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Likert tipi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ölçek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kullanılarak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puanlanmış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boyut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puanları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ilgili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maddelerin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ortalamaları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alınarak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hesaplanmıştır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Ölçeğin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iç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tutarlılık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düzeyi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yüksektir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toplam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Cronbach alfa = .94;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boyut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alfaları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= .85–.92).</w:t>
      </w:r>
    </w:p>
    <w:p w14:paraId="31EC39F7" w14:textId="77777777" w:rsidR="00045E0B" w:rsidRPr="00045E0B" w:rsidRDefault="00045E0B" w:rsidP="00045E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  <w:gridCol w:w="2164"/>
      </w:tblGrid>
      <w:tr w:rsidR="00F26D6E" w:rsidRPr="00045E0B" w14:paraId="42925A40" w14:textId="77777777">
        <w:trPr>
          <w:jc w:val="center"/>
        </w:trPr>
        <w:tc>
          <w:tcPr>
            <w:tcW w:w="2164" w:type="dxa"/>
            <w:shd w:val="clear" w:color="auto" w:fill="D9EAF7"/>
            <w:vAlign w:val="center"/>
          </w:tcPr>
          <w:p w14:paraId="5C4419D0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Boyut</w:t>
            </w:r>
          </w:p>
        </w:tc>
        <w:tc>
          <w:tcPr>
            <w:tcW w:w="2164" w:type="dxa"/>
            <w:shd w:val="clear" w:color="auto" w:fill="D9EAF7"/>
            <w:vAlign w:val="center"/>
          </w:tcPr>
          <w:p w14:paraId="3B9F1F92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Ort.</w:t>
            </w:r>
          </w:p>
        </w:tc>
        <w:tc>
          <w:tcPr>
            <w:tcW w:w="2164" w:type="dxa"/>
            <w:shd w:val="clear" w:color="auto" w:fill="D9EAF7"/>
            <w:vAlign w:val="center"/>
          </w:tcPr>
          <w:p w14:paraId="628B0A2A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SS</w:t>
            </w:r>
          </w:p>
        </w:tc>
        <w:tc>
          <w:tcPr>
            <w:tcW w:w="2164" w:type="dxa"/>
            <w:shd w:val="clear" w:color="auto" w:fill="D9EAF7"/>
            <w:vAlign w:val="center"/>
          </w:tcPr>
          <w:p w14:paraId="0B11DD34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Olumlu yanıt¹</w:t>
            </w:r>
          </w:p>
        </w:tc>
        <w:tc>
          <w:tcPr>
            <w:tcW w:w="2164" w:type="dxa"/>
            <w:shd w:val="clear" w:color="auto" w:fill="D9EAF7"/>
            <w:vAlign w:val="center"/>
          </w:tcPr>
          <w:p w14:paraId="475FD59A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α</w:t>
            </w:r>
          </w:p>
        </w:tc>
      </w:tr>
      <w:tr w:rsidR="00F26D6E" w:rsidRPr="00045E0B" w14:paraId="35F3E182" w14:textId="77777777">
        <w:trPr>
          <w:jc w:val="center"/>
        </w:trPr>
        <w:tc>
          <w:tcPr>
            <w:tcW w:w="2164" w:type="dxa"/>
            <w:vAlign w:val="center"/>
          </w:tcPr>
          <w:p w14:paraId="039D12E9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Ulaşım memnuniyeti</w:t>
            </w:r>
          </w:p>
        </w:tc>
        <w:tc>
          <w:tcPr>
            <w:tcW w:w="2164" w:type="dxa"/>
            <w:vAlign w:val="center"/>
          </w:tcPr>
          <w:p w14:paraId="3BEB16F6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4.46</w:t>
            </w:r>
          </w:p>
        </w:tc>
        <w:tc>
          <w:tcPr>
            <w:tcW w:w="2164" w:type="dxa"/>
            <w:vAlign w:val="center"/>
          </w:tcPr>
          <w:p w14:paraId="44DCBC8D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0.65</w:t>
            </w:r>
          </w:p>
        </w:tc>
        <w:tc>
          <w:tcPr>
            <w:tcW w:w="2164" w:type="dxa"/>
            <w:vAlign w:val="center"/>
          </w:tcPr>
          <w:p w14:paraId="633A3740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%84.9</w:t>
            </w:r>
          </w:p>
        </w:tc>
        <w:tc>
          <w:tcPr>
            <w:tcW w:w="2164" w:type="dxa"/>
            <w:vAlign w:val="center"/>
          </w:tcPr>
          <w:p w14:paraId="4B667DC6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0.85</w:t>
            </w:r>
          </w:p>
        </w:tc>
      </w:tr>
      <w:tr w:rsidR="00F26D6E" w:rsidRPr="00045E0B" w14:paraId="11A58E39" w14:textId="77777777">
        <w:trPr>
          <w:jc w:val="center"/>
        </w:trPr>
        <w:tc>
          <w:tcPr>
            <w:tcW w:w="2164" w:type="dxa"/>
            <w:vAlign w:val="center"/>
          </w:tcPr>
          <w:p w14:paraId="681F0420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Firma stantları</w:t>
            </w:r>
          </w:p>
        </w:tc>
        <w:tc>
          <w:tcPr>
            <w:tcW w:w="2164" w:type="dxa"/>
            <w:vAlign w:val="center"/>
          </w:tcPr>
          <w:p w14:paraId="08EE3FE8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3.43</w:t>
            </w:r>
          </w:p>
        </w:tc>
        <w:tc>
          <w:tcPr>
            <w:tcW w:w="2164" w:type="dxa"/>
            <w:vAlign w:val="center"/>
          </w:tcPr>
          <w:p w14:paraId="3716598F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1.03</w:t>
            </w:r>
          </w:p>
        </w:tc>
        <w:tc>
          <w:tcPr>
            <w:tcW w:w="2164" w:type="dxa"/>
            <w:vAlign w:val="center"/>
          </w:tcPr>
          <w:p w14:paraId="6F769837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%38.0</w:t>
            </w:r>
          </w:p>
        </w:tc>
        <w:tc>
          <w:tcPr>
            <w:tcW w:w="2164" w:type="dxa"/>
            <w:vAlign w:val="center"/>
          </w:tcPr>
          <w:p w14:paraId="33BA6AF2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0.90</w:t>
            </w:r>
          </w:p>
        </w:tc>
      </w:tr>
      <w:tr w:rsidR="00F26D6E" w:rsidRPr="00045E0B" w14:paraId="4119CDF3" w14:textId="77777777">
        <w:trPr>
          <w:jc w:val="center"/>
        </w:trPr>
        <w:tc>
          <w:tcPr>
            <w:tcW w:w="2164" w:type="dxa"/>
            <w:vAlign w:val="center"/>
          </w:tcPr>
          <w:p w14:paraId="174DDF0D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Etkinlik memnuniyeti</w:t>
            </w:r>
          </w:p>
        </w:tc>
        <w:tc>
          <w:tcPr>
            <w:tcW w:w="2164" w:type="dxa"/>
            <w:vAlign w:val="center"/>
          </w:tcPr>
          <w:p w14:paraId="2172ADFF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3.35</w:t>
            </w:r>
          </w:p>
        </w:tc>
        <w:tc>
          <w:tcPr>
            <w:tcW w:w="2164" w:type="dxa"/>
            <w:vAlign w:val="center"/>
          </w:tcPr>
          <w:p w14:paraId="4789D2EC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1.09</w:t>
            </w:r>
          </w:p>
        </w:tc>
        <w:tc>
          <w:tcPr>
            <w:tcW w:w="2164" w:type="dxa"/>
            <w:vAlign w:val="center"/>
          </w:tcPr>
          <w:p w14:paraId="0D6D85EC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%39.8</w:t>
            </w:r>
          </w:p>
        </w:tc>
        <w:tc>
          <w:tcPr>
            <w:tcW w:w="2164" w:type="dxa"/>
            <w:vAlign w:val="center"/>
          </w:tcPr>
          <w:p w14:paraId="3DB76E93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0.90</w:t>
            </w:r>
          </w:p>
        </w:tc>
      </w:tr>
      <w:tr w:rsidR="00F26D6E" w:rsidRPr="00045E0B" w14:paraId="23647127" w14:textId="77777777">
        <w:trPr>
          <w:jc w:val="center"/>
        </w:trPr>
        <w:tc>
          <w:tcPr>
            <w:tcW w:w="2164" w:type="dxa"/>
            <w:vAlign w:val="center"/>
          </w:tcPr>
          <w:p w14:paraId="15FEC73C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Fuar alanı</w:t>
            </w:r>
          </w:p>
        </w:tc>
        <w:tc>
          <w:tcPr>
            <w:tcW w:w="2164" w:type="dxa"/>
            <w:vAlign w:val="center"/>
          </w:tcPr>
          <w:p w14:paraId="6A2E081C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3.31</w:t>
            </w:r>
          </w:p>
        </w:tc>
        <w:tc>
          <w:tcPr>
            <w:tcW w:w="2164" w:type="dxa"/>
            <w:vAlign w:val="center"/>
          </w:tcPr>
          <w:p w14:paraId="02FA06AC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0.92</w:t>
            </w:r>
          </w:p>
        </w:tc>
        <w:tc>
          <w:tcPr>
            <w:tcW w:w="2164" w:type="dxa"/>
            <w:vAlign w:val="center"/>
          </w:tcPr>
          <w:p w14:paraId="4CDEA88F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%24.1</w:t>
            </w:r>
          </w:p>
        </w:tc>
        <w:tc>
          <w:tcPr>
            <w:tcW w:w="2164" w:type="dxa"/>
            <w:vAlign w:val="center"/>
          </w:tcPr>
          <w:p w14:paraId="14F55902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0.87</w:t>
            </w:r>
          </w:p>
        </w:tc>
      </w:tr>
      <w:tr w:rsidR="00F26D6E" w:rsidRPr="00045E0B" w14:paraId="1D5FFDD4" w14:textId="77777777">
        <w:trPr>
          <w:jc w:val="center"/>
        </w:trPr>
        <w:tc>
          <w:tcPr>
            <w:tcW w:w="2164" w:type="dxa"/>
            <w:vAlign w:val="center"/>
          </w:tcPr>
          <w:p w14:paraId="5F55AD53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Genel memnuniyet</w:t>
            </w:r>
          </w:p>
        </w:tc>
        <w:tc>
          <w:tcPr>
            <w:tcW w:w="2164" w:type="dxa"/>
            <w:vAlign w:val="center"/>
          </w:tcPr>
          <w:p w14:paraId="74E71FEB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3.49</w:t>
            </w:r>
          </w:p>
        </w:tc>
        <w:tc>
          <w:tcPr>
            <w:tcW w:w="2164" w:type="dxa"/>
            <w:vAlign w:val="center"/>
          </w:tcPr>
          <w:p w14:paraId="61C0613F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1.09</w:t>
            </w:r>
          </w:p>
        </w:tc>
        <w:tc>
          <w:tcPr>
            <w:tcW w:w="2164" w:type="dxa"/>
            <w:vAlign w:val="center"/>
          </w:tcPr>
          <w:p w14:paraId="2C5F96DD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%47.6</w:t>
            </w:r>
          </w:p>
        </w:tc>
        <w:tc>
          <w:tcPr>
            <w:tcW w:w="2164" w:type="dxa"/>
            <w:vAlign w:val="center"/>
          </w:tcPr>
          <w:p w14:paraId="6A2B621E" w14:textId="77777777" w:rsidR="00F26D6E" w:rsidRPr="00045E0B" w:rsidRDefault="00000000" w:rsidP="00045E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E0B">
              <w:rPr>
                <w:rFonts w:ascii="Times New Roman" w:hAnsi="Times New Roman" w:cs="Times New Roman"/>
                <w:bCs/>
                <w:sz w:val="20"/>
                <w:szCs w:val="20"/>
              </w:rPr>
              <w:t>0.92</w:t>
            </w:r>
          </w:p>
        </w:tc>
      </w:tr>
    </w:tbl>
    <w:p w14:paraId="40C29B6C" w14:textId="77777777" w:rsidR="00045E0B" w:rsidRDefault="00045E0B" w:rsidP="00045E0B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3495FF4D" w14:textId="05A25C7B" w:rsidR="00F26D6E" w:rsidRPr="00045E0B" w:rsidRDefault="00045E0B" w:rsidP="00045E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Sonuçlar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öğrencilerin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yüksek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memnuniyeti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ulaşım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hizmetlerine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ilişkin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olarak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bildirdiklerini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göstermektedir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45E0B">
        <w:rPr>
          <w:rFonts w:ascii="Times New Roman" w:hAnsi="Times New Roman" w:cs="Times New Roman"/>
          <w:bCs/>
          <w:sz w:val="24"/>
          <w:szCs w:val="24"/>
        </w:rPr>
        <w:t>Ort.=</w:t>
      </w:r>
      <w:proofErr w:type="gram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4.46).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Öğrencilerin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%84.9’u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ulaşım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boyutunda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olumlu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değerlendirme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yapmıştır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Bu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bulgu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Pamukkale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Üniversitesi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tarafından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sağlanan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ulaşım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organizasyonunun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öğrenciler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tarafından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oldukça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başarılı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bulunduğunu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göstermektedir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Genel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memnuniyet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düzeyi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orta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-iyi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seviyededir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45E0B">
        <w:rPr>
          <w:rFonts w:ascii="Times New Roman" w:hAnsi="Times New Roman" w:cs="Times New Roman"/>
          <w:bCs/>
          <w:sz w:val="24"/>
          <w:szCs w:val="24"/>
        </w:rPr>
        <w:t>Ort.=</w:t>
      </w:r>
      <w:proofErr w:type="gram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3.49;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olumlu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yanıt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=%47.6).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Firma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stantları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45E0B">
        <w:rPr>
          <w:rFonts w:ascii="Times New Roman" w:hAnsi="Times New Roman" w:cs="Times New Roman"/>
          <w:bCs/>
          <w:sz w:val="24"/>
          <w:szCs w:val="24"/>
        </w:rPr>
        <w:t>Ort.=</w:t>
      </w:r>
      <w:proofErr w:type="gram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3.43),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etkinlikler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45E0B">
        <w:rPr>
          <w:rFonts w:ascii="Times New Roman" w:hAnsi="Times New Roman" w:cs="Times New Roman"/>
          <w:bCs/>
          <w:sz w:val="24"/>
          <w:szCs w:val="24"/>
        </w:rPr>
        <w:t>Ort.=</w:t>
      </w:r>
      <w:proofErr w:type="gram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3.35)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fuar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alanı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45E0B">
        <w:rPr>
          <w:rFonts w:ascii="Times New Roman" w:hAnsi="Times New Roman" w:cs="Times New Roman"/>
          <w:bCs/>
          <w:sz w:val="24"/>
          <w:szCs w:val="24"/>
        </w:rPr>
        <w:t>Ort.=</w:t>
      </w:r>
      <w:proofErr w:type="gram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3.31)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öğrencilerin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memnuniyet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düzeylerinin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görece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daha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düşük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olduğu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geliştirilmesi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gereken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alanlar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olarak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öne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çıkmıştır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En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yüksek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puan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maddeler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firma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temsilcilerine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erişim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(4.63),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üniversite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tarafından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sağlanan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ulaşımdan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memnuniyet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(4.55)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ulaşım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konusunda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yapılan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bilgilendirmeler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(4.49)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olmuştur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En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düşük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puan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maddeler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ise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oturma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dinlenme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alanlarının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yeterliliği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(2.72),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fuar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alanının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büyüklüğü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(3.20),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yiyecek-içecek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olanakları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(3.25)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etkinlik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çeşitliliği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(3.29)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olarak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belirlenmiştir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D58FD8" w14:textId="77777777" w:rsidR="00045E0B" w:rsidRPr="00045E0B" w:rsidRDefault="00045E0B" w:rsidP="00045E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B48BC4" w14:textId="15688CBA" w:rsidR="00045E0B" w:rsidRPr="00045E0B" w:rsidRDefault="00045E0B" w:rsidP="00045E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Toplam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47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fuara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ilişkin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görüş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öneri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veya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değerlendirmelerini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paylaşmıştır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Tematik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inceleme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sonucunda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sık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dile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getirilen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konular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fuar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alanındaki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yoğunluk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kalabalık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havalandırma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koşulları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293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045E0B">
        <w:rPr>
          <w:rFonts w:ascii="Times New Roman" w:hAnsi="Times New Roman" w:cs="Times New Roman"/>
          <w:bCs/>
          <w:sz w:val="24"/>
          <w:szCs w:val="24"/>
        </w:rPr>
        <w:t xml:space="preserve">=29),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firma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stant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çeşitliliğinin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artırılması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ile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bölümlere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daha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uygun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firma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katılımının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sağlanması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293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045E0B">
        <w:rPr>
          <w:rFonts w:ascii="Times New Roman" w:hAnsi="Times New Roman" w:cs="Times New Roman"/>
          <w:bCs/>
          <w:sz w:val="24"/>
          <w:szCs w:val="24"/>
        </w:rPr>
        <w:t xml:space="preserve">=25),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yönlendirme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sistemlerinin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geliştirilmesi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haritalarının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sunulması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293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045E0B">
        <w:rPr>
          <w:rFonts w:ascii="Times New Roman" w:hAnsi="Times New Roman" w:cs="Times New Roman"/>
          <w:bCs/>
          <w:sz w:val="24"/>
          <w:szCs w:val="24"/>
        </w:rPr>
        <w:t xml:space="preserve">=10)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ile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yiyecek-içecek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ikram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hizmetlerinin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iyileştirilmesi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293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045E0B">
        <w:rPr>
          <w:rFonts w:ascii="Times New Roman" w:hAnsi="Times New Roman" w:cs="Times New Roman"/>
          <w:bCs/>
          <w:sz w:val="24"/>
          <w:szCs w:val="24"/>
        </w:rPr>
        <w:t xml:space="preserve">=7)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olmuştur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. Bu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bulgular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nicel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sonuçlarla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tutarlı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biçimde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özellikle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alan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kapasitesi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dinlenme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olanakları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öğrenci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profili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ile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firma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çeşitliliği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arasındaki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uyumun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geliştirilmesi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gerektiğine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işaret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sz w:val="24"/>
          <w:szCs w:val="24"/>
        </w:rPr>
        <w:t>etmektedir</w:t>
      </w:r>
      <w:proofErr w:type="spellEnd"/>
      <w:r w:rsidRPr="00045E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D0A6B6" w14:textId="77777777" w:rsidR="00045E0B" w:rsidRDefault="00045E0B" w:rsidP="00045E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70089B" w14:textId="04D155AE" w:rsidR="00F26D6E" w:rsidRPr="00045E0B" w:rsidRDefault="00000000" w:rsidP="00045E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E0B">
        <w:rPr>
          <w:rFonts w:ascii="Times New Roman" w:hAnsi="Times New Roman" w:cs="Times New Roman"/>
          <w:bCs/>
          <w:sz w:val="24"/>
          <w:szCs w:val="24"/>
        </w:rPr>
        <w:t xml:space="preserve">¹ </w:t>
      </w:r>
      <w:proofErr w:type="spellStart"/>
      <w:r w:rsidRPr="00045E0B">
        <w:rPr>
          <w:rFonts w:ascii="Times New Roman" w:hAnsi="Times New Roman" w:cs="Times New Roman"/>
          <w:bCs/>
          <w:i/>
          <w:iCs/>
          <w:sz w:val="24"/>
          <w:szCs w:val="24"/>
        </w:rPr>
        <w:t>Olumlu</w:t>
      </w:r>
      <w:proofErr w:type="spellEnd"/>
      <w:r w:rsidRPr="00045E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i/>
          <w:iCs/>
          <w:sz w:val="24"/>
          <w:szCs w:val="24"/>
        </w:rPr>
        <w:t>yanıt</w:t>
      </w:r>
      <w:proofErr w:type="spellEnd"/>
      <w:r w:rsidRPr="00045E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Pr="00045E0B">
        <w:rPr>
          <w:rFonts w:ascii="Times New Roman" w:hAnsi="Times New Roman" w:cs="Times New Roman"/>
          <w:bCs/>
          <w:i/>
          <w:iCs/>
          <w:sz w:val="24"/>
          <w:szCs w:val="24"/>
        </w:rPr>
        <w:t>Boyut</w:t>
      </w:r>
      <w:proofErr w:type="spellEnd"/>
      <w:r w:rsidRPr="00045E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45E0B">
        <w:rPr>
          <w:rFonts w:ascii="Times New Roman" w:hAnsi="Times New Roman" w:cs="Times New Roman"/>
          <w:bCs/>
          <w:i/>
          <w:iCs/>
          <w:sz w:val="24"/>
          <w:szCs w:val="24"/>
        </w:rPr>
        <w:t>ortalaması</w:t>
      </w:r>
      <w:proofErr w:type="spellEnd"/>
      <w:r w:rsidRPr="00045E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≥ 4.00 olan katılımcı oranı. Likert ölçeği: 1=Kesinlikle katılmıyorum, 5=Kesinlikle katılıyorum.</w:t>
      </w:r>
    </w:p>
    <w:sectPr w:rsidR="00F26D6E" w:rsidRPr="00045E0B" w:rsidSect="00034616">
      <w:pgSz w:w="12240" w:h="15840"/>
      <w:pgMar w:top="680" w:right="709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411839">
    <w:abstractNumId w:val="8"/>
  </w:num>
  <w:num w:numId="2" w16cid:durableId="282157089">
    <w:abstractNumId w:val="6"/>
  </w:num>
  <w:num w:numId="3" w16cid:durableId="707872448">
    <w:abstractNumId w:val="5"/>
  </w:num>
  <w:num w:numId="4" w16cid:durableId="2080904441">
    <w:abstractNumId w:val="4"/>
  </w:num>
  <w:num w:numId="5" w16cid:durableId="1993873383">
    <w:abstractNumId w:val="7"/>
  </w:num>
  <w:num w:numId="6" w16cid:durableId="1542284015">
    <w:abstractNumId w:val="3"/>
  </w:num>
  <w:num w:numId="7" w16cid:durableId="1589998916">
    <w:abstractNumId w:val="2"/>
  </w:num>
  <w:num w:numId="8" w16cid:durableId="1747724263">
    <w:abstractNumId w:val="1"/>
  </w:num>
  <w:num w:numId="9" w16cid:durableId="43413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E0B"/>
    <w:rsid w:val="0006063C"/>
    <w:rsid w:val="00102293"/>
    <w:rsid w:val="0015074B"/>
    <w:rsid w:val="0029639D"/>
    <w:rsid w:val="00326F90"/>
    <w:rsid w:val="00AA1D8D"/>
    <w:rsid w:val="00B47730"/>
    <w:rsid w:val="00C45B88"/>
    <w:rsid w:val="00CB0664"/>
    <w:rsid w:val="00F26D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89327"/>
  <w14:defaultImageDpi w14:val="300"/>
  <w15:docId w15:val="{1329E990-39D9-4DC5-8B58-A01D90A0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YILMAZ HASRET</cp:lastModifiedBy>
  <cp:revision>2</cp:revision>
  <dcterms:created xsi:type="dcterms:W3CDTF">2013-12-23T23:15:00Z</dcterms:created>
  <dcterms:modified xsi:type="dcterms:W3CDTF">2026-06-01T08:39:00Z</dcterms:modified>
  <cp:category/>
</cp:coreProperties>
</file>