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E1203D" w:rsidP="009E6BC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Akademik Birimler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E1203D" w:rsidP="00CA38F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Bölüm Başkanı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83414B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="00947419" w:rsidRPr="0012131F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714096" w:rsidRPr="0012131F" w:rsidRDefault="00E1203D" w:rsidP="00E901D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 Yardımcısı</w:t>
            </w:r>
            <w:r w:rsidR="0083414B">
              <w:rPr>
                <w:rFonts w:ascii="Cambria" w:hAnsi="Cambria"/>
              </w:rPr>
              <w:t>/Dekan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12131F" w:rsidRDefault="006A6FAE" w:rsidP="00B72C4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E1203D" w:rsidRDefault="0083414B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Pamukkale </w:t>
            </w:r>
            <w:r w:rsidR="00387803" w:rsidRPr="0012131F">
              <w:rPr>
                <w:rFonts w:ascii="Cambria" w:hAnsi="Cambria"/>
              </w:rPr>
              <w:t>Üniversitesi üst yönetimi tarafından belirlenen amaç ve ilkelere uygun olarak; birimin tüm faaliyetleri</w:t>
            </w:r>
            <w:r w:rsidR="00387803">
              <w:rPr>
                <w:rFonts w:ascii="Cambria" w:hAnsi="Cambria"/>
              </w:rPr>
              <w:t xml:space="preserve"> ile ilgili</w:t>
            </w:r>
            <w:r w:rsidR="00387803" w:rsidRPr="0012131F">
              <w:rPr>
                <w:rFonts w:ascii="Cambria" w:hAnsi="Cambria"/>
              </w:rPr>
              <w:t>, etkenlik ve verimlilik ilkelerine uygun olarak yürütülmesi amacıyla</w:t>
            </w:r>
            <w:r w:rsidR="00387803">
              <w:rPr>
                <w:rFonts w:ascii="Cambria" w:hAnsi="Cambria"/>
              </w:rPr>
              <w:t xml:space="preserve"> çalışmalar yapmak. B</w:t>
            </w:r>
            <w:r w:rsidR="00A04870" w:rsidRPr="00A04870">
              <w:rPr>
                <w:rFonts w:ascii="Cambria" w:hAnsi="Cambria"/>
              </w:rPr>
              <w:t xml:space="preserve">ölümün her düzeyde eğitim öğretim ve araştırmalarından, bölüme ait her türlü faaliyetin düzenli ve verimli bir şekilde yürütülmesinden sorumludur. </w:t>
            </w:r>
            <w:r w:rsidR="001C4FCD">
              <w:rPr>
                <w:rFonts w:ascii="Cambria" w:hAnsi="Cambria"/>
              </w:rPr>
              <w:t>Dekanın</w:t>
            </w:r>
            <w:r w:rsidR="001C4FCD" w:rsidRPr="001C4FCD">
              <w:rPr>
                <w:rFonts w:ascii="Cambria" w:hAnsi="Cambria"/>
              </w:rPr>
              <w:t xml:space="preserve"> önerisi üzerine Rektörce üç yıl için atanır. Süresi biten başkan tekrar atanabilir.</w:t>
            </w:r>
          </w:p>
          <w:p w:rsidR="00207A80" w:rsidRPr="0012131F" w:rsidRDefault="00E90DFF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 xml:space="preserve"> 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146827" w:rsidRPr="00DA294C" w:rsidRDefault="00146827" w:rsidP="00DA294C">
            <w:pPr>
              <w:pStyle w:val="AralkYok"/>
            </w:pPr>
          </w:p>
          <w:p w:rsid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</w:pPr>
            <w:r w:rsidRPr="00DA294C">
              <w:rPr>
                <w:rFonts w:ascii="Cambria" w:hAnsi="Cambria"/>
              </w:rPr>
              <w:t>2547 sayılı Akademik Personel kanununun ilgili akademik teşkilat yasasında belirtilen görevleri yapmak</w:t>
            </w:r>
            <w:r>
              <w:rPr>
                <w:rFonts w:ascii="Cambria" w:hAnsi="Cambria"/>
              </w:rPr>
              <w:t>,</w:t>
            </w:r>
          </w:p>
          <w:p w:rsid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Bölüm kurullarına başkanlık eder.</w:t>
            </w:r>
          </w:p>
          <w:p w:rsidR="009554DF" w:rsidRPr="009554DF" w:rsidRDefault="00B3359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9554DF">
              <w:rPr>
                <w:rFonts w:ascii="Cambria" w:hAnsi="Cambria"/>
              </w:rPr>
              <w:t>Fakülte Kuruluna üyelik yapmak</w:t>
            </w:r>
          </w:p>
          <w:p w:rsidR="00DA294C" w:rsidRPr="007D4829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7D4829">
              <w:rPr>
                <w:rFonts w:ascii="Cambria" w:hAnsi="Cambria"/>
              </w:rPr>
              <w:t>Bölümün ihtiyaçlarını Makama yazılı olarak rapor eder.</w:t>
            </w:r>
          </w:p>
          <w:p w:rsidR="00DA294C" w:rsidRPr="00DA294C" w:rsidRDefault="00B71798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Makam </w:t>
            </w:r>
            <w:r w:rsidR="00DA294C" w:rsidRPr="00DA294C">
              <w:rPr>
                <w:rFonts w:ascii="Cambria" w:hAnsi="Cambria"/>
              </w:rPr>
              <w:t xml:space="preserve">ile </w:t>
            </w:r>
            <w:r>
              <w:rPr>
                <w:rFonts w:ascii="Cambria" w:hAnsi="Cambria"/>
              </w:rPr>
              <w:t>b</w:t>
            </w:r>
            <w:r w:rsidR="00DA294C" w:rsidRPr="00DA294C">
              <w:rPr>
                <w:rFonts w:ascii="Cambria" w:hAnsi="Cambria"/>
              </w:rPr>
              <w:t xml:space="preserve">ölüm arasındaki her türlü yazışmanın sağlıklı bir şekilde yapılmasını sağlar. 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Bölüme bağlı Anabilim dalları arasında eşgüdümü sağlar.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 xml:space="preserve">Bölümün ders dağılımını öğretim elemanları arasında dengeli bir şekilde yapılmasını sağlar. 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Bölümde eğitim-öğretimin düzenli bir şekilde sürdürülmesini sağlar.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 xml:space="preserve">Ek ders ve sınav ücret çizelgelerinin zamanında ve doğru bir biçimde hazırlanmasını sağlar. 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 xml:space="preserve">Bölümün eğitim-öğretimle ilgili sorunlarını tespit eder, </w:t>
            </w:r>
            <w:r w:rsidR="00B71798">
              <w:rPr>
                <w:rFonts w:ascii="Cambria" w:hAnsi="Cambria"/>
              </w:rPr>
              <w:t>Makama</w:t>
            </w:r>
            <w:r w:rsidRPr="00DA294C">
              <w:rPr>
                <w:rFonts w:ascii="Cambria" w:hAnsi="Cambria"/>
              </w:rPr>
              <w:t xml:space="preserve"> iletir.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 xml:space="preserve">Bölümün değerlendirme ve kalite geliştirme çalışmalarını yürütür, raporları </w:t>
            </w:r>
            <w:r w:rsidR="00F358BA">
              <w:rPr>
                <w:rFonts w:ascii="Cambria" w:hAnsi="Cambria"/>
              </w:rPr>
              <w:t>Makama</w:t>
            </w:r>
            <w:r w:rsidRPr="00DA294C">
              <w:rPr>
                <w:rFonts w:ascii="Cambria" w:hAnsi="Cambria"/>
              </w:rPr>
              <w:t xml:space="preserve"> sunar.</w:t>
            </w:r>
          </w:p>
          <w:p w:rsidR="00DA294C" w:rsidRPr="00DA294C" w:rsidRDefault="00F358BA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Dekanlık </w:t>
            </w:r>
            <w:r w:rsidR="00DA294C" w:rsidRPr="00DA294C">
              <w:rPr>
                <w:rFonts w:ascii="Cambria" w:hAnsi="Cambria"/>
              </w:rPr>
              <w:t>Kalite Birimi ile eşgüdümlü çalışarak Bölüme bağlı programların akredite edilme çalışmalarını yürütür.</w:t>
            </w:r>
          </w:p>
          <w:p w:rsid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Eğitim-öğretimin ve bilimsel araştırmaların verimli ve etkili bir şekilde gerçekleşmesi amacına yönelik olarak Bölümdeki öğretim elemanları arasında bir iletişim ortamının oluşmasına çalışır.</w:t>
            </w:r>
          </w:p>
          <w:p w:rsidR="00662C3D" w:rsidRDefault="00662C3D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662C3D">
              <w:rPr>
                <w:rFonts w:ascii="Cambria" w:hAnsi="Cambria"/>
              </w:rPr>
              <w:t>Bölümün ders dağılımın öğretim elemanları arasında dengeli ve makul bir şekilde yapılmasını sağlar</w:t>
            </w:r>
            <w:r>
              <w:rPr>
                <w:rFonts w:ascii="Cambria" w:hAnsi="Cambria"/>
              </w:rPr>
              <w:t>,</w:t>
            </w:r>
          </w:p>
          <w:p w:rsidR="001A7E35" w:rsidRPr="001A7E35" w:rsidRDefault="001A7E35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1A7E35">
              <w:rPr>
                <w:rFonts w:ascii="Cambria" w:hAnsi="Cambria"/>
              </w:rPr>
              <w:t>Bölümdeki dersliklerin, çalışma odalarının, atölyelerin, laboratuvarların ve ders araç-gereçlerinin verimli, etkili, düzenli ve temiz olarak kullanılmasını sağlar.</w:t>
            </w:r>
          </w:p>
          <w:p w:rsidR="006F2784" w:rsidRPr="006F2784" w:rsidRDefault="006F2784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6F2784">
              <w:rPr>
                <w:rFonts w:ascii="Cambria" w:hAnsi="Cambria"/>
              </w:rPr>
              <w:t>Bölümüne bağlı öğretim elemanlarının görev sürelerinin uzatılmasında dikkate alınmak üzere Bölüm görüşünü yazılı olarak Müdürlük Makamına bildirir.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Fakülte Akademik Genel Kurulu için Bölüm ile ilgili gerekli bilgileri sağlar.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Her dönem başında ders kayıtlarının düzenli bir biçimde yapılmasını sağlar.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Bölüm öğrencilerinin eğitim-öğretim sorunları ile yakından ilgilenir.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Bölümündeki öğrenci-öğretim elemanı ilişkilerinin, eğitim-öğretimin amaçları doğrultusunda, düzenli ve sağlıklı bir şekilde yürütülmesini sağlar.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lastRenderedPageBreak/>
              <w:t>Ders kayıtlarının düzenli bir biçimde yapılabilmesi için danışmanlarla toplantılar yapar.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Lisans eğitim-öğretim ve sınav yönetmeliği ile yönergelerin ruhuna uygun bir şekilde uygulanmasını sağlar.</w:t>
            </w:r>
          </w:p>
          <w:p w:rsid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Öğretim elemanlarının derslerini düzenli olarak yapmalarını sağlar.</w:t>
            </w:r>
          </w:p>
          <w:p w:rsidR="005C3A9C" w:rsidRPr="00DA294C" w:rsidRDefault="00BB66F4" w:rsidP="000C2C00">
            <w:pPr>
              <w:pStyle w:val="AralkYok"/>
              <w:numPr>
                <w:ilvl w:val="0"/>
                <w:numId w:val="20"/>
              </w:numPr>
              <w:jc w:val="both"/>
            </w:pPr>
            <w:r w:rsidRPr="00BB66F4">
              <w:rPr>
                <w:rFonts w:ascii="Cambria" w:hAnsi="Cambria"/>
              </w:rPr>
              <w:t>Eğitim-öğretimin ve bilimsel araştırmaların verimli ve etkili bir şekilde gerçekleşmesi amacına yönelik olarak Bölümdeki öğretim elemanları arasında uygun bir iletişim ortamının oluşmasına çalışır.</w:t>
            </w:r>
          </w:p>
          <w:p w:rsidR="000C2C00" w:rsidRPr="00614C14" w:rsidRDefault="000C2C00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Görevi ile ilgili süreçleri Üniversitemiz Kalite Politikası ve Kalite Yönetim Sistemi çerçevesinde, kalite hedefleri ve prosedürlerine uygun olarak yürütmek</w:t>
            </w:r>
            <w:r>
              <w:rPr>
                <w:rFonts w:ascii="Cambria" w:hAnsi="Cambria"/>
              </w:rPr>
              <w:t>,</w:t>
            </w:r>
          </w:p>
          <w:p w:rsidR="00C35406" w:rsidRPr="000C2C00" w:rsidRDefault="000C2C00" w:rsidP="00872249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0C2C00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6068F4" w:rsidRPr="005C3A9C" w:rsidRDefault="00BE6E49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Bölüm Başkanı</w:t>
            </w:r>
            <w:r w:rsidR="00803617" w:rsidRPr="005C3A9C">
              <w:rPr>
                <w:rFonts w:ascii="Cambria" w:hAnsi="Cambria"/>
              </w:rPr>
              <w:t xml:space="preserve">, yukarıda yazılı olan bütün bu görevleri kanunlara ve yönetmeliklere uygun olarak yerine getirirken </w:t>
            </w:r>
            <w:r w:rsidR="0088576D">
              <w:rPr>
                <w:rFonts w:ascii="Cambria" w:hAnsi="Cambria"/>
              </w:rPr>
              <w:t>Dekana</w:t>
            </w:r>
            <w:r w:rsidR="00803617" w:rsidRPr="005C3A9C">
              <w:rPr>
                <w:rFonts w:ascii="Cambria" w:hAnsi="Cambria"/>
              </w:rPr>
              <w:t xml:space="preserve"> karşı sorumludur. </w:t>
            </w:r>
          </w:p>
          <w:p w:rsidR="00754174" w:rsidRPr="00DA294C" w:rsidRDefault="00754174" w:rsidP="00DA294C">
            <w:pPr>
              <w:pStyle w:val="AralkYok"/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12131F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2383C" w:rsidRDefault="00A2383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54008" w:rsidRPr="0012131F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FBD" w:rsidRDefault="00003FBD" w:rsidP="00534F7F">
      <w:r>
        <w:separator/>
      </w:r>
    </w:p>
  </w:endnote>
  <w:endnote w:type="continuationSeparator" w:id="0">
    <w:p w:rsidR="00003FBD" w:rsidRDefault="00003FBD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0A" w:rsidRDefault="000449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83414B" w:rsidRPr="0081560B" w:rsidTr="004023B0">
      <w:trPr>
        <w:trHeight w:val="559"/>
      </w:trPr>
      <w:tc>
        <w:tcPr>
          <w:tcW w:w="666" w:type="dxa"/>
        </w:tcPr>
        <w:p w:rsidR="0083414B" w:rsidRPr="00C4163E" w:rsidRDefault="0083414B" w:rsidP="0083414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83414B" w:rsidRDefault="0083414B" w:rsidP="0083414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83414B" w:rsidRDefault="0083414B" w:rsidP="0083414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83414B" w:rsidRPr="0081560B" w:rsidRDefault="0083414B" w:rsidP="0083414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İktisadi ve İdari Bilimler Fakültesi  Kınıklı Yerleşkesi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83414B" w:rsidRPr="0081560B" w:rsidRDefault="0083414B" w:rsidP="0083414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83414B" w:rsidRPr="00171789" w:rsidRDefault="0083414B" w:rsidP="0083414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3414B" w:rsidRPr="00171789" w:rsidRDefault="0083414B" w:rsidP="0083414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3414B" w:rsidRPr="0081560B" w:rsidRDefault="0083414B" w:rsidP="0083414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83414B" w:rsidRPr="0081560B" w:rsidRDefault="0083414B" w:rsidP="0083414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83414B" w:rsidRPr="0081560B" w:rsidRDefault="0083414B" w:rsidP="0083414B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83414B" w:rsidRPr="0081560B" w:rsidRDefault="0083414B" w:rsidP="0083414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83414B" w:rsidRDefault="0083414B" w:rsidP="0083414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2651-52</w:t>
          </w:r>
        </w:p>
        <w:p w:rsidR="0083414B" w:rsidRDefault="0083414B" w:rsidP="0083414B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83414B" w:rsidRPr="0081560B" w:rsidRDefault="0083414B" w:rsidP="0083414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iibf@pau.edu.tr</w:t>
          </w:r>
        </w:p>
        <w:p w:rsidR="0083414B" w:rsidRPr="0081560B" w:rsidRDefault="0083414B" w:rsidP="0083414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83414B" w:rsidRPr="0081560B" w:rsidRDefault="0083414B" w:rsidP="0083414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F5DB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F5DB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  <w:p w:rsidR="001F457B" w:rsidRPr="000C04CC" w:rsidRDefault="001F457B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  <w:p w:rsidR="00061611" w:rsidRDefault="0006161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0A" w:rsidRDefault="000449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FBD" w:rsidRDefault="00003FBD" w:rsidP="00534F7F">
      <w:r>
        <w:separator/>
      </w:r>
    </w:p>
  </w:footnote>
  <w:footnote w:type="continuationSeparator" w:id="0">
    <w:p w:rsidR="00003FBD" w:rsidRDefault="00003FBD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0A" w:rsidRDefault="000449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83414B" w:rsidTr="0083414B">
      <w:trPr>
        <w:trHeight w:val="189"/>
      </w:trPr>
      <w:tc>
        <w:tcPr>
          <w:tcW w:w="2547" w:type="dxa"/>
          <w:vMerge w:val="restart"/>
        </w:tcPr>
        <w:p w:rsidR="0083414B" w:rsidRDefault="0083414B" w:rsidP="0083414B">
          <w:pPr>
            <w:pStyle w:val="stBilgi"/>
            <w:ind w:left="-115" w:right="-110"/>
          </w:pPr>
          <w:r>
            <w:rPr>
              <w:noProof/>
              <w:color w:val="0000FF"/>
            </w:rPr>
            <w:drawing>
              <wp:inline distT="0" distB="0" distL="0" distR="0" wp14:anchorId="0312DE2D" wp14:editId="05E21402">
                <wp:extent cx="933450" cy="742950"/>
                <wp:effectExtent l="0" t="0" r="0" b="0"/>
                <wp:docPr id="1" name="irc_mi" descr="pamukkale üniversitesi logo ile ilgili görsel sonucu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pamukkale üniversitesi logo ile ilgili görsel sonucu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83414B" w:rsidRPr="00682A32" w:rsidRDefault="0083414B" w:rsidP="0083414B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 xml:space="preserve">GÖREV </w:t>
          </w:r>
          <w:r>
            <w:rPr>
              <w:rFonts w:ascii="Cambria" w:hAnsi="Cambria"/>
              <w:b/>
              <w:color w:val="002060"/>
            </w:rPr>
            <w:t>TANIMI</w:t>
          </w:r>
          <w:r>
            <w:rPr>
              <w:rFonts w:ascii="Arial" w:hAnsi="Arial" w:cs="Arial"/>
              <w:noProof/>
              <w:color w:val="337AB7"/>
              <w:sz w:val="19"/>
              <w:szCs w:val="19"/>
            </w:rPr>
            <w:drawing>
              <wp:inline distT="0" distB="0" distL="0" distR="0" wp14:anchorId="4D2631EC" wp14:editId="4D56071C">
                <wp:extent cx="419100" cy="666750"/>
                <wp:effectExtent l="0" t="0" r="0" b="0"/>
                <wp:docPr id="10" name="ctl00_cphBolge1_ctl00_iSiteLogo" descr="http://stumpffi.pau.edu.tr/siteler/iibf/logo/logoTR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cphBolge1_ctl00_iSiteLogo" descr="http://stumpffi.pau.edu.tr/siteler/iibf/logo/logoTR.png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3414B" w:rsidRPr="0092378E" w:rsidRDefault="0083414B" w:rsidP="0083414B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83414B" w:rsidRPr="0092378E" w:rsidRDefault="0083414B" w:rsidP="0083414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83414B" w:rsidRPr="00171789" w:rsidRDefault="002F5DB6" w:rsidP="0083414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GRT-0004</w:t>
          </w:r>
          <w:bookmarkStart w:id="0" w:name="_GoBack"/>
          <w:bookmarkEnd w:id="0"/>
        </w:p>
      </w:tc>
    </w:tr>
    <w:tr w:rsidR="0083414B" w:rsidTr="0083414B">
      <w:trPr>
        <w:trHeight w:val="187"/>
      </w:trPr>
      <w:tc>
        <w:tcPr>
          <w:tcW w:w="2547" w:type="dxa"/>
          <w:vMerge/>
        </w:tcPr>
        <w:p w:rsidR="0083414B" w:rsidRDefault="0083414B" w:rsidP="0083414B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83414B" w:rsidRDefault="0083414B" w:rsidP="0083414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83414B" w:rsidRPr="0092378E" w:rsidRDefault="0083414B" w:rsidP="0083414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83414B" w:rsidRPr="00171789" w:rsidRDefault="0083414B" w:rsidP="0083414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08.10.2019</w:t>
          </w:r>
        </w:p>
      </w:tc>
    </w:tr>
    <w:tr w:rsidR="0083414B" w:rsidTr="0083414B">
      <w:trPr>
        <w:trHeight w:val="187"/>
      </w:trPr>
      <w:tc>
        <w:tcPr>
          <w:tcW w:w="2547" w:type="dxa"/>
          <w:vMerge/>
        </w:tcPr>
        <w:p w:rsidR="0083414B" w:rsidRDefault="0083414B" w:rsidP="0083414B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83414B" w:rsidRDefault="0083414B" w:rsidP="0083414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83414B" w:rsidRPr="0092378E" w:rsidRDefault="0083414B" w:rsidP="0083414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83414B" w:rsidRPr="00171789" w:rsidRDefault="0083414B" w:rsidP="0083414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83414B" w:rsidTr="0083414B">
      <w:trPr>
        <w:trHeight w:val="220"/>
      </w:trPr>
      <w:tc>
        <w:tcPr>
          <w:tcW w:w="2547" w:type="dxa"/>
          <w:vMerge/>
        </w:tcPr>
        <w:p w:rsidR="0083414B" w:rsidRDefault="0083414B" w:rsidP="0083414B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83414B" w:rsidRDefault="0083414B" w:rsidP="0083414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83414B" w:rsidRPr="0092378E" w:rsidRDefault="0083414B" w:rsidP="0083414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83414B" w:rsidRPr="00171789" w:rsidRDefault="0083414B" w:rsidP="0083414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  <w:tr w:rsidR="0083414B" w:rsidTr="0083414B">
      <w:trPr>
        <w:gridAfter w:val="3"/>
        <w:wAfter w:w="7092" w:type="dxa"/>
        <w:trHeight w:val="276"/>
      </w:trPr>
      <w:tc>
        <w:tcPr>
          <w:tcW w:w="2547" w:type="dxa"/>
          <w:vMerge w:val="restart"/>
        </w:tcPr>
        <w:p w:rsidR="0083414B" w:rsidRDefault="0083414B" w:rsidP="00534F7F">
          <w:pPr>
            <w:pStyle w:val="stBilgi"/>
            <w:ind w:left="-115" w:right="-110"/>
          </w:pPr>
        </w:p>
      </w:tc>
    </w:tr>
    <w:tr w:rsidR="0083414B" w:rsidTr="0083414B">
      <w:trPr>
        <w:gridAfter w:val="3"/>
        <w:wAfter w:w="7092" w:type="dxa"/>
        <w:trHeight w:val="276"/>
      </w:trPr>
      <w:tc>
        <w:tcPr>
          <w:tcW w:w="2547" w:type="dxa"/>
          <w:vMerge/>
        </w:tcPr>
        <w:p w:rsidR="0083414B" w:rsidRDefault="0083414B" w:rsidP="00534F7F">
          <w:pPr>
            <w:pStyle w:val="stBilgi"/>
            <w:rPr>
              <w:noProof/>
            </w:rPr>
          </w:pPr>
        </w:p>
      </w:tc>
    </w:tr>
    <w:tr w:rsidR="0083414B" w:rsidTr="0083414B">
      <w:trPr>
        <w:gridAfter w:val="3"/>
        <w:wAfter w:w="7092" w:type="dxa"/>
        <w:trHeight w:val="276"/>
      </w:trPr>
      <w:tc>
        <w:tcPr>
          <w:tcW w:w="2547" w:type="dxa"/>
          <w:vMerge/>
        </w:tcPr>
        <w:p w:rsidR="0083414B" w:rsidRDefault="0083414B" w:rsidP="00534F7F">
          <w:pPr>
            <w:pStyle w:val="stBilgi"/>
            <w:rPr>
              <w:noProof/>
            </w:rPr>
          </w:pPr>
        </w:p>
      </w:tc>
    </w:tr>
    <w:tr w:rsidR="0083414B" w:rsidTr="0083414B">
      <w:trPr>
        <w:gridAfter w:val="3"/>
        <w:wAfter w:w="7092" w:type="dxa"/>
        <w:trHeight w:val="276"/>
      </w:trPr>
      <w:tc>
        <w:tcPr>
          <w:tcW w:w="2547" w:type="dxa"/>
          <w:vMerge/>
        </w:tcPr>
        <w:p w:rsidR="0083414B" w:rsidRDefault="0083414B" w:rsidP="00534F7F">
          <w:pPr>
            <w:pStyle w:val="stBilgi"/>
            <w:rPr>
              <w:noProof/>
            </w:rPr>
          </w:pPr>
        </w:p>
      </w:tc>
    </w:tr>
  </w:tbl>
  <w:p w:rsidR="001F457B" w:rsidRPr="004023B0" w:rsidRDefault="001F45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0A" w:rsidRDefault="000449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77D79"/>
    <w:multiLevelType w:val="hybridMultilevel"/>
    <w:tmpl w:val="E190D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66174"/>
    <w:multiLevelType w:val="hybridMultilevel"/>
    <w:tmpl w:val="D61462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7B9605D7"/>
    <w:multiLevelType w:val="hybridMultilevel"/>
    <w:tmpl w:val="02E0AC40"/>
    <w:lvl w:ilvl="0" w:tplc="5E38D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6"/>
  </w:num>
  <w:num w:numId="5">
    <w:abstractNumId w:val="7"/>
  </w:num>
  <w:num w:numId="6">
    <w:abstractNumId w:val="15"/>
  </w:num>
  <w:num w:numId="7">
    <w:abstractNumId w:val="18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12"/>
  </w:num>
  <w:num w:numId="13">
    <w:abstractNumId w:val="5"/>
  </w:num>
  <w:num w:numId="14">
    <w:abstractNumId w:val="9"/>
  </w:num>
  <w:num w:numId="15">
    <w:abstractNumId w:val="16"/>
  </w:num>
  <w:num w:numId="16">
    <w:abstractNumId w:val="10"/>
  </w:num>
  <w:num w:numId="17">
    <w:abstractNumId w:val="14"/>
  </w:num>
  <w:num w:numId="18">
    <w:abstractNumId w:val="4"/>
  </w:num>
  <w:num w:numId="19">
    <w:abstractNumId w:val="17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3AC"/>
    <w:rsid w:val="00003FBD"/>
    <w:rsid w:val="000106BD"/>
    <w:rsid w:val="00010BAA"/>
    <w:rsid w:val="0001594B"/>
    <w:rsid w:val="000176D6"/>
    <w:rsid w:val="00033FAA"/>
    <w:rsid w:val="0004490A"/>
    <w:rsid w:val="00061611"/>
    <w:rsid w:val="00061C19"/>
    <w:rsid w:val="000C04CC"/>
    <w:rsid w:val="000C2C00"/>
    <w:rsid w:val="00104233"/>
    <w:rsid w:val="00107887"/>
    <w:rsid w:val="0012131F"/>
    <w:rsid w:val="0013004F"/>
    <w:rsid w:val="0013037B"/>
    <w:rsid w:val="00146827"/>
    <w:rsid w:val="001469F3"/>
    <w:rsid w:val="001473DC"/>
    <w:rsid w:val="00150110"/>
    <w:rsid w:val="00163C7F"/>
    <w:rsid w:val="00164950"/>
    <w:rsid w:val="0016547C"/>
    <w:rsid w:val="00167ACC"/>
    <w:rsid w:val="00172ADA"/>
    <w:rsid w:val="001842CA"/>
    <w:rsid w:val="00197CE6"/>
    <w:rsid w:val="001A7E35"/>
    <w:rsid w:val="001C153C"/>
    <w:rsid w:val="001C1597"/>
    <w:rsid w:val="001C2C4E"/>
    <w:rsid w:val="001C385C"/>
    <w:rsid w:val="001C4FCD"/>
    <w:rsid w:val="001D281B"/>
    <w:rsid w:val="001D371E"/>
    <w:rsid w:val="001E4576"/>
    <w:rsid w:val="001F457B"/>
    <w:rsid w:val="001F6791"/>
    <w:rsid w:val="001F7B59"/>
    <w:rsid w:val="00207A80"/>
    <w:rsid w:val="00222A0D"/>
    <w:rsid w:val="00227981"/>
    <w:rsid w:val="0023302F"/>
    <w:rsid w:val="00236E1E"/>
    <w:rsid w:val="00246B39"/>
    <w:rsid w:val="0026786F"/>
    <w:rsid w:val="0027292B"/>
    <w:rsid w:val="00274CBA"/>
    <w:rsid w:val="0029374A"/>
    <w:rsid w:val="00296852"/>
    <w:rsid w:val="002B2944"/>
    <w:rsid w:val="002B3AA0"/>
    <w:rsid w:val="002B4786"/>
    <w:rsid w:val="002C05F1"/>
    <w:rsid w:val="002C0A2B"/>
    <w:rsid w:val="002E7330"/>
    <w:rsid w:val="002F5DB6"/>
    <w:rsid w:val="00304EAB"/>
    <w:rsid w:val="003053A1"/>
    <w:rsid w:val="0032238E"/>
    <w:rsid w:val="003230A8"/>
    <w:rsid w:val="003303FE"/>
    <w:rsid w:val="0033736D"/>
    <w:rsid w:val="00341062"/>
    <w:rsid w:val="00341403"/>
    <w:rsid w:val="0035773C"/>
    <w:rsid w:val="003617EF"/>
    <w:rsid w:val="0036266E"/>
    <w:rsid w:val="0036763A"/>
    <w:rsid w:val="00387803"/>
    <w:rsid w:val="00393BCE"/>
    <w:rsid w:val="003A1F30"/>
    <w:rsid w:val="003C2817"/>
    <w:rsid w:val="00400B04"/>
    <w:rsid w:val="004023B0"/>
    <w:rsid w:val="00406E87"/>
    <w:rsid w:val="00441FEB"/>
    <w:rsid w:val="0044324F"/>
    <w:rsid w:val="00465E9A"/>
    <w:rsid w:val="004730F6"/>
    <w:rsid w:val="004A1877"/>
    <w:rsid w:val="004A4CDC"/>
    <w:rsid w:val="004D0318"/>
    <w:rsid w:val="004D6EB8"/>
    <w:rsid w:val="004F27F3"/>
    <w:rsid w:val="005332AB"/>
    <w:rsid w:val="00534F7F"/>
    <w:rsid w:val="00537423"/>
    <w:rsid w:val="00544A37"/>
    <w:rsid w:val="00551B24"/>
    <w:rsid w:val="005560B7"/>
    <w:rsid w:val="0055738B"/>
    <w:rsid w:val="005641FD"/>
    <w:rsid w:val="00565BFA"/>
    <w:rsid w:val="00586A9C"/>
    <w:rsid w:val="005B03FF"/>
    <w:rsid w:val="005B3B02"/>
    <w:rsid w:val="005B5AD0"/>
    <w:rsid w:val="005B6D4E"/>
    <w:rsid w:val="005C3A9C"/>
    <w:rsid w:val="005D4727"/>
    <w:rsid w:val="006040B2"/>
    <w:rsid w:val="006068F4"/>
    <w:rsid w:val="00612A12"/>
    <w:rsid w:val="00615EB2"/>
    <w:rsid w:val="0061636C"/>
    <w:rsid w:val="0062150D"/>
    <w:rsid w:val="00627720"/>
    <w:rsid w:val="006325A7"/>
    <w:rsid w:val="006355A1"/>
    <w:rsid w:val="00635A92"/>
    <w:rsid w:val="006364A5"/>
    <w:rsid w:val="0064705C"/>
    <w:rsid w:val="00651747"/>
    <w:rsid w:val="00662C3D"/>
    <w:rsid w:val="00682605"/>
    <w:rsid w:val="00682A32"/>
    <w:rsid w:val="00697492"/>
    <w:rsid w:val="006A6FAE"/>
    <w:rsid w:val="006C40E1"/>
    <w:rsid w:val="006C7D11"/>
    <w:rsid w:val="006D3B1F"/>
    <w:rsid w:val="006E6192"/>
    <w:rsid w:val="006F2784"/>
    <w:rsid w:val="0070372C"/>
    <w:rsid w:val="00705AD0"/>
    <w:rsid w:val="00706420"/>
    <w:rsid w:val="00711425"/>
    <w:rsid w:val="00714096"/>
    <w:rsid w:val="00715C4E"/>
    <w:rsid w:val="00726038"/>
    <w:rsid w:val="007266A2"/>
    <w:rsid w:val="007304E0"/>
    <w:rsid w:val="0073606C"/>
    <w:rsid w:val="00736779"/>
    <w:rsid w:val="00747DD0"/>
    <w:rsid w:val="00754174"/>
    <w:rsid w:val="0075616C"/>
    <w:rsid w:val="00775EA7"/>
    <w:rsid w:val="00775F29"/>
    <w:rsid w:val="00776087"/>
    <w:rsid w:val="00787DDE"/>
    <w:rsid w:val="0079374A"/>
    <w:rsid w:val="00795446"/>
    <w:rsid w:val="007A7DBB"/>
    <w:rsid w:val="007B0CFD"/>
    <w:rsid w:val="007D1C4E"/>
    <w:rsid w:val="007D4382"/>
    <w:rsid w:val="007D4829"/>
    <w:rsid w:val="007D55FA"/>
    <w:rsid w:val="007E210F"/>
    <w:rsid w:val="007F7E72"/>
    <w:rsid w:val="00803617"/>
    <w:rsid w:val="00810A48"/>
    <w:rsid w:val="00830A95"/>
    <w:rsid w:val="0083414B"/>
    <w:rsid w:val="00840467"/>
    <w:rsid w:val="00853CB0"/>
    <w:rsid w:val="0086003A"/>
    <w:rsid w:val="008853A8"/>
    <w:rsid w:val="0088576D"/>
    <w:rsid w:val="008A178A"/>
    <w:rsid w:val="008C4974"/>
    <w:rsid w:val="008C6E2F"/>
    <w:rsid w:val="008D371C"/>
    <w:rsid w:val="008D57AB"/>
    <w:rsid w:val="008E478D"/>
    <w:rsid w:val="008E591A"/>
    <w:rsid w:val="008E7722"/>
    <w:rsid w:val="00902A7C"/>
    <w:rsid w:val="009060C1"/>
    <w:rsid w:val="00931FA7"/>
    <w:rsid w:val="0093327A"/>
    <w:rsid w:val="0094289F"/>
    <w:rsid w:val="00947419"/>
    <w:rsid w:val="00952BC7"/>
    <w:rsid w:val="009554DF"/>
    <w:rsid w:val="00960730"/>
    <w:rsid w:val="00966126"/>
    <w:rsid w:val="0096625E"/>
    <w:rsid w:val="00966A44"/>
    <w:rsid w:val="0097609F"/>
    <w:rsid w:val="009B6181"/>
    <w:rsid w:val="009C1368"/>
    <w:rsid w:val="009D0481"/>
    <w:rsid w:val="009E07BF"/>
    <w:rsid w:val="009E22C3"/>
    <w:rsid w:val="009E6BCB"/>
    <w:rsid w:val="009F5E18"/>
    <w:rsid w:val="00A04870"/>
    <w:rsid w:val="00A125A4"/>
    <w:rsid w:val="00A17E50"/>
    <w:rsid w:val="00A22546"/>
    <w:rsid w:val="00A22889"/>
    <w:rsid w:val="00A23674"/>
    <w:rsid w:val="00A2383C"/>
    <w:rsid w:val="00A275E9"/>
    <w:rsid w:val="00A354CE"/>
    <w:rsid w:val="00A45E0C"/>
    <w:rsid w:val="00A52249"/>
    <w:rsid w:val="00A54008"/>
    <w:rsid w:val="00A70028"/>
    <w:rsid w:val="00A75555"/>
    <w:rsid w:val="00A83390"/>
    <w:rsid w:val="00A97B30"/>
    <w:rsid w:val="00AA5BEE"/>
    <w:rsid w:val="00AC43D8"/>
    <w:rsid w:val="00AC58EE"/>
    <w:rsid w:val="00AD227B"/>
    <w:rsid w:val="00AD2E95"/>
    <w:rsid w:val="00AE4216"/>
    <w:rsid w:val="00AF5225"/>
    <w:rsid w:val="00B00E1D"/>
    <w:rsid w:val="00B06EC8"/>
    <w:rsid w:val="00B23E4A"/>
    <w:rsid w:val="00B248B8"/>
    <w:rsid w:val="00B3359C"/>
    <w:rsid w:val="00B35F09"/>
    <w:rsid w:val="00B41259"/>
    <w:rsid w:val="00B5715F"/>
    <w:rsid w:val="00B6421D"/>
    <w:rsid w:val="00B71798"/>
    <w:rsid w:val="00B72C45"/>
    <w:rsid w:val="00B81B21"/>
    <w:rsid w:val="00B834F2"/>
    <w:rsid w:val="00B912E6"/>
    <w:rsid w:val="00B936DF"/>
    <w:rsid w:val="00B94075"/>
    <w:rsid w:val="00BB1E65"/>
    <w:rsid w:val="00BB3754"/>
    <w:rsid w:val="00BB66F4"/>
    <w:rsid w:val="00BB7297"/>
    <w:rsid w:val="00BC19C0"/>
    <w:rsid w:val="00BC7571"/>
    <w:rsid w:val="00BC7F23"/>
    <w:rsid w:val="00BE6E49"/>
    <w:rsid w:val="00BE7DAB"/>
    <w:rsid w:val="00BF54D2"/>
    <w:rsid w:val="00C04787"/>
    <w:rsid w:val="00C0555C"/>
    <w:rsid w:val="00C07033"/>
    <w:rsid w:val="00C12F1F"/>
    <w:rsid w:val="00C2681D"/>
    <w:rsid w:val="00C305C2"/>
    <w:rsid w:val="00C32325"/>
    <w:rsid w:val="00C34C44"/>
    <w:rsid w:val="00C35406"/>
    <w:rsid w:val="00C47689"/>
    <w:rsid w:val="00C53C77"/>
    <w:rsid w:val="00C74E20"/>
    <w:rsid w:val="00C9267E"/>
    <w:rsid w:val="00C953F6"/>
    <w:rsid w:val="00CA38F1"/>
    <w:rsid w:val="00CB54B3"/>
    <w:rsid w:val="00CB6A3F"/>
    <w:rsid w:val="00CC0C34"/>
    <w:rsid w:val="00CD1909"/>
    <w:rsid w:val="00D1112B"/>
    <w:rsid w:val="00D23714"/>
    <w:rsid w:val="00D3465A"/>
    <w:rsid w:val="00D34F0E"/>
    <w:rsid w:val="00D35A4A"/>
    <w:rsid w:val="00D61027"/>
    <w:rsid w:val="00D65310"/>
    <w:rsid w:val="00D675A4"/>
    <w:rsid w:val="00D83CD5"/>
    <w:rsid w:val="00D95BD5"/>
    <w:rsid w:val="00DA2689"/>
    <w:rsid w:val="00DA294C"/>
    <w:rsid w:val="00DB2E18"/>
    <w:rsid w:val="00DD12B3"/>
    <w:rsid w:val="00DD308E"/>
    <w:rsid w:val="00DD3517"/>
    <w:rsid w:val="00DD51A4"/>
    <w:rsid w:val="00DE498A"/>
    <w:rsid w:val="00DE7DA1"/>
    <w:rsid w:val="00DF7096"/>
    <w:rsid w:val="00E03E32"/>
    <w:rsid w:val="00E10203"/>
    <w:rsid w:val="00E10785"/>
    <w:rsid w:val="00E1203D"/>
    <w:rsid w:val="00E13F11"/>
    <w:rsid w:val="00E3436C"/>
    <w:rsid w:val="00E35C41"/>
    <w:rsid w:val="00E36113"/>
    <w:rsid w:val="00E36FAA"/>
    <w:rsid w:val="00E44F51"/>
    <w:rsid w:val="00E522EB"/>
    <w:rsid w:val="00E57AA7"/>
    <w:rsid w:val="00E87FEE"/>
    <w:rsid w:val="00E901D8"/>
    <w:rsid w:val="00E90DFF"/>
    <w:rsid w:val="00EA2676"/>
    <w:rsid w:val="00EA6040"/>
    <w:rsid w:val="00EB6D6B"/>
    <w:rsid w:val="00EC0A1D"/>
    <w:rsid w:val="00ED11E1"/>
    <w:rsid w:val="00ED61D4"/>
    <w:rsid w:val="00EE2587"/>
    <w:rsid w:val="00EE3346"/>
    <w:rsid w:val="00F06511"/>
    <w:rsid w:val="00F07134"/>
    <w:rsid w:val="00F12E2C"/>
    <w:rsid w:val="00F139D6"/>
    <w:rsid w:val="00F220E4"/>
    <w:rsid w:val="00F229A8"/>
    <w:rsid w:val="00F33BC5"/>
    <w:rsid w:val="00F358BA"/>
    <w:rsid w:val="00F442B7"/>
    <w:rsid w:val="00F544B4"/>
    <w:rsid w:val="00F614C3"/>
    <w:rsid w:val="00F670B9"/>
    <w:rsid w:val="00F7713A"/>
    <w:rsid w:val="00FA6D95"/>
    <w:rsid w:val="00FB69AA"/>
    <w:rsid w:val="00FC06A9"/>
    <w:rsid w:val="00FC3E69"/>
    <w:rsid w:val="00FD6A9C"/>
    <w:rsid w:val="00FD6F30"/>
    <w:rsid w:val="00FE0744"/>
    <w:rsid w:val="00FE3DA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6E08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qFormat/>
    <w:rsid w:val="00BE7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u.edu.tr/iibf/t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tr/url?sa=i&amp;rct=j&amp;q=&amp;esrc=s&amp;source=images&amp;cd=&amp;ved=0ahUKEwj2q_yIgPfUAhVIJ5oKHZJ-D40QjRwIBw&amp;url=http://www.universiteyurtlari.com/tr/universite-bilgileri/83/pamukkale-universitesi.html&amp;psig=AFQjCNE_vJoYVdP_D9BUI56ckb7DiW_R0A&amp;ust=1499511039997805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Pau</cp:lastModifiedBy>
  <cp:revision>4</cp:revision>
  <dcterms:created xsi:type="dcterms:W3CDTF">2019-10-16T11:18:00Z</dcterms:created>
  <dcterms:modified xsi:type="dcterms:W3CDTF">2019-10-28T06:43:00Z</dcterms:modified>
</cp:coreProperties>
</file>