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4912"/>
        <w:gridCol w:w="2976"/>
      </w:tblGrid>
      <w:tr w:rsidR="00134933" w:rsidTr="00EA11E0">
        <w:tc>
          <w:tcPr>
            <w:tcW w:w="1746" w:type="dxa"/>
          </w:tcPr>
          <w:p w:rsidR="001A09E2" w:rsidRDefault="002C6122" w:rsidP="00920BD7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55963702" wp14:editId="7EC9216A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2976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B0331C" w:rsidRDefault="00B0331C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A56010" w:rsidRPr="0012131F" w:rsidTr="002302D4">
        <w:tc>
          <w:tcPr>
            <w:tcW w:w="3256" w:type="dxa"/>
            <w:shd w:val="clear" w:color="auto" w:fill="F2F2F2" w:themeFill="background1" w:themeFillShade="F2"/>
          </w:tcPr>
          <w:p w:rsidR="00A56010" w:rsidRPr="0012131F" w:rsidRDefault="00A56010" w:rsidP="002302D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A56010" w:rsidRPr="0012131F" w:rsidRDefault="00A56010" w:rsidP="002302D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Dekanlık </w:t>
            </w:r>
          </w:p>
        </w:tc>
      </w:tr>
      <w:tr w:rsidR="00A56010" w:rsidRPr="0012131F" w:rsidTr="002302D4">
        <w:tc>
          <w:tcPr>
            <w:tcW w:w="3256" w:type="dxa"/>
            <w:shd w:val="clear" w:color="auto" w:fill="F2F2F2" w:themeFill="background1" w:themeFillShade="F2"/>
          </w:tcPr>
          <w:p w:rsidR="00A56010" w:rsidRPr="0012131F" w:rsidRDefault="00A56010" w:rsidP="002302D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A56010" w:rsidRPr="0012131F" w:rsidRDefault="00A56010" w:rsidP="002302D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Yardımcısı</w:t>
            </w:r>
          </w:p>
        </w:tc>
      </w:tr>
      <w:tr w:rsidR="00A56010" w:rsidRPr="0012131F" w:rsidTr="002302D4">
        <w:tc>
          <w:tcPr>
            <w:tcW w:w="3256" w:type="dxa"/>
            <w:shd w:val="clear" w:color="auto" w:fill="F2F2F2" w:themeFill="background1" w:themeFillShade="F2"/>
          </w:tcPr>
          <w:p w:rsidR="00A56010" w:rsidRPr="0012131F" w:rsidRDefault="00A56010" w:rsidP="002302D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A56010" w:rsidRPr="0012131F" w:rsidRDefault="00A56010" w:rsidP="002302D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</w:p>
        </w:tc>
      </w:tr>
      <w:tr w:rsidR="00A56010" w:rsidRPr="0012131F" w:rsidTr="002302D4">
        <w:tc>
          <w:tcPr>
            <w:tcW w:w="3256" w:type="dxa"/>
            <w:shd w:val="clear" w:color="auto" w:fill="F2F2F2" w:themeFill="background1" w:themeFillShade="F2"/>
          </w:tcPr>
          <w:p w:rsidR="00A56010" w:rsidRPr="0012131F" w:rsidRDefault="00A56010" w:rsidP="002302D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Yokluğunda Veka</w:t>
            </w:r>
            <w:r w:rsidRPr="0012131F">
              <w:rPr>
                <w:rFonts w:ascii="Cambria" w:hAnsi="Cambria"/>
                <w:b/>
                <w:color w:val="002060"/>
              </w:rPr>
              <w:t>let Edecek</w:t>
            </w:r>
          </w:p>
        </w:tc>
        <w:tc>
          <w:tcPr>
            <w:tcW w:w="6378" w:type="dxa"/>
          </w:tcPr>
          <w:p w:rsidR="00A56010" w:rsidRPr="0012131F" w:rsidRDefault="00A56010" w:rsidP="002302D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Yardımcısı</w:t>
            </w:r>
          </w:p>
        </w:tc>
      </w:tr>
    </w:tbl>
    <w:p w:rsidR="00A56010" w:rsidRPr="0012131F" w:rsidRDefault="00A56010" w:rsidP="00A56010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A56010" w:rsidRPr="0012131F" w:rsidTr="002302D4">
        <w:tc>
          <w:tcPr>
            <w:tcW w:w="9634" w:type="dxa"/>
            <w:shd w:val="clear" w:color="auto" w:fill="F2F2F2" w:themeFill="background1" w:themeFillShade="F2"/>
          </w:tcPr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A56010" w:rsidRPr="0012131F" w:rsidTr="002302D4">
        <w:tc>
          <w:tcPr>
            <w:tcW w:w="9634" w:type="dxa"/>
            <w:shd w:val="clear" w:color="auto" w:fill="FFFFFF" w:themeFill="background1"/>
          </w:tcPr>
          <w:p w:rsidR="00A56010" w:rsidRDefault="00A56010" w:rsidP="002302D4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A56010" w:rsidRDefault="00A56010" w:rsidP="002302D4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F</w:t>
            </w:r>
            <w:r w:rsidRPr="00E90DFF">
              <w:rPr>
                <w:rFonts w:ascii="Cambria" w:hAnsi="Cambria"/>
              </w:rPr>
              <w:t>akültenin vizyonu, misyonu doğrultusunda eğitim ve öğretimi gerçekleştirmek için çalışmaları yapmak, planlamak, yönlendirme</w:t>
            </w:r>
            <w:r>
              <w:rPr>
                <w:rFonts w:ascii="Cambria" w:hAnsi="Cambria"/>
              </w:rPr>
              <w:t>k, koordine etmek ve denetlemeler hususunda Dekana yardımcı olmak, yokluğunda yerine vekalet etmek.</w:t>
            </w:r>
          </w:p>
          <w:p w:rsidR="00A56010" w:rsidRPr="0012131F" w:rsidRDefault="00A56010" w:rsidP="002302D4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A56010" w:rsidRPr="0012131F" w:rsidRDefault="00A56010" w:rsidP="00A56010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957"/>
        <w:gridCol w:w="4671"/>
        <w:gridCol w:w="6"/>
      </w:tblGrid>
      <w:tr w:rsidR="00A56010" w:rsidRPr="0012131F" w:rsidTr="002302D4">
        <w:tc>
          <w:tcPr>
            <w:tcW w:w="9634" w:type="dxa"/>
            <w:gridSpan w:val="3"/>
            <w:shd w:val="clear" w:color="auto" w:fill="F2F2F2" w:themeFill="background1" w:themeFillShade="F2"/>
          </w:tcPr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A56010" w:rsidRPr="0012131F" w:rsidTr="002302D4">
        <w:tc>
          <w:tcPr>
            <w:tcW w:w="9634" w:type="dxa"/>
            <w:gridSpan w:val="3"/>
            <w:shd w:val="clear" w:color="auto" w:fill="FFFFFF" w:themeFill="background1"/>
          </w:tcPr>
          <w:p w:rsidR="00A56010" w:rsidRDefault="00A56010" w:rsidP="00A56010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A5601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Pusula Bilgi Sistemi Dokümantasyon Siteminden gelen alanıyla ilgili yazıların (paraf, imza) gereğini yapmak.</w:t>
            </w:r>
          </w:p>
          <w:p w:rsidR="00A5601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Öğrenciyle ilgili tüm işlemleri takip edip sosyal medyadan duyurulmasını sağlamak.</w:t>
            </w:r>
          </w:p>
          <w:p w:rsidR="00A5601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Fakülteye özel etkinlikleri organize edip, planlayıp düzenli yapılmasını sağlamak.</w:t>
            </w:r>
          </w:p>
          <w:p w:rsidR="00A5601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Fakültenin web sayfasını düzenlemek, güncel olmasını sağlamak.</w:t>
            </w:r>
          </w:p>
          <w:p w:rsidR="00A5601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Ders ve sınav programlarında kontrolör olmak.</w:t>
            </w:r>
          </w:p>
          <w:p w:rsidR="00A5601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Mezuniyet töreninin düzenli yapılması için organizasyon yapmak.</w:t>
            </w:r>
          </w:p>
          <w:p w:rsidR="00A56010" w:rsidRPr="003A1875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Kurul, Fakülte Kurulu ve Fakülte Yönetim Kurulunda Dekanın yanında bulunmak, konusuyla ilgili bilgilendirme yapmak.</w:t>
            </w:r>
          </w:p>
          <w:p w:rsidR="00A56010" w:rsidRPr="00B73005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İlgili kurul, komitelerde bulunup, konusuyla ilgili destek vermek</w:t>
            </w:r>
            <w:r w:rsidRPr="00B73005">
              <w:rPr>
                <w:rFonts w:ascii="Cambria" w:hAnsi="Cambria"/>
              </w:rPr>
              <w:t>.</w:t>
            </w:r>
          </w:p>
          <w:p w:rsidR="00A56010" w:rsidRPr="00853CB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</w:t>
            </w:r>
            <w:r>
              <w:rPr>
                <w:rFonts w:ascii="Cambria" w:hAnsi="Cambria"/>
              </w:rPr>
              <w:t xml:space="preserve">ltenin öz değerlendirme raporu </w:t>
            </w:r>
            <w:r w:rsidRPr="00853CB0">
              <w:rPr>
                <w:rFonts w:ascii="Cambria" w:hAnsi="Cambria"/>
              </w:rPr>
              <w:t>hazırla</w:t>
            </w:r>
            <w:r>
              <w:rPr>
                <w:rFonts w:ascii="Cambria" w:hAnsi="Cambria"/>
              </w:rPr>
              <w:t>nırken destek vermek.</w:t>
            </w:r>
          </w:p>
          <w:p w:rsidR="00A56010" w:rsidRPr="00853CB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Fakül</w:t>
            </w:r>
            <w:r>
              <w:rPr>
                <w:rFonts w:ascii="Cambria" w:hAnsi="Cambria"/>
              </w:rPr>
              <w:t>tenin stratejik planını hazırlanırken destek vermek</w:t>
            </w:r>
            <w:r w:rsidRPr="00853CB0">
              <w:rPr>
                <w:rFonts w:ascii="Cambria" w:hAnsi="Cambria"/>
              </w:rPr>
              <w:t>.</w:t>
            </w:r>
          </w:p>
          <w:p w:rsidR="00A5601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3A1875">
              <w:rPr>
                <w:rFonts w:ascii="Cambria" w:hAnsi="Cambria"/>
              </w:rPr>
              <w:t>Belirlenen standartların kalitesinin geliştirilmesini sağlamak.</w:t>
            </w:r>
          </w:p>
          <w:p w:rsidR="00A56010" w:rsidRPr="003A1875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3A1875">
              <w:rPr>
                <w:rFonts w:ascii="Cambria" w:hAnsi="Cambria"/>
              </w:rPr>
              <w:t xml:space="preserve">Kurum </w:t>
            </w:r>
            <w:r>
              <w:rPr>
                <w:rFonts w:ascii="Cambria" w:hAnsi="Cambria"/>
              </w:rPr>
              <w:t xml:space="preserve">iç- dış değerlendirme </w:t>
            </w:r>
            <w:r w:rsidRPr="003A1875">
              <w:rPr>
                <w:rFonts w:ascii="Cambria" w:hAnsi="Cambria"/>
              </w:rPr>
              <w:t>ziyaret ekibinin programını hazırla</w:t>
            </w:r>
            <w:r>
              <w:rPr>
                <w:rFonts w:ascii="Cambria" w:hAnsi="Cambria"/>
              </w:rPr>
              <w:t>mak</w:t>
            </w:r>
            <w:r w:rsidRPr="003A1875">
              <w:rPr>
                <w:rFonts w:ascii="Cambria" w:hAnsi="Cambria"/>
              </w:rPr>
              <w:t>.</w:t>
            </w:r>
          </w:p>
          <w:p w:rsidR="00A56010" w:rsidRPr="00853CB0" w:rsidRDefault="00A56010" w:rsidP="00A56010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Öğretim elemanlarına “</w:t>
            </w:r>
            <w:r w:rsidRPr="009009F6">
              <w:rPr>
                <w:rFonts w:ascii="Cambria" w:hAnsi="Cambria"/>
              </w:rPr>
              <w:t>Öğretim Süreci Değerlendirme</w:t>
            </w:r>
            <w:r w:rsidRPr="00F47731">
              <w:rPr>
                <w:rFonts w:ascii="Cambria" w:hAnsi="Cambria"/>
                <w:sz w:val="20"/>
                <w:szCs w:val="20"/>
              </w:rPr>
              <w:t xml:space="preserve"> Anketlerinin</w:t>
            </w:r>
            <w:r w:rsidRPr="00853CB0">
              <w:rPr>
                <w:rFonts w:ascii="Cambria" w:hAnsi="Cambria"/>
              </w:rPr>
              <w:t>” uygulanmasını sağla</w:t>
            </w:r>
            <w:r>
              <w:rPr>
                <w:rFonts w:ascii="Cambria" w:hAnsi="Cambria"/>
              </w:rPr>
              <w:t>mak.</w:t>
            </w:r>
          </w:p>
          <w:p w:rsidR="00A56010" w:rsidRPr="00853CB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Öğrencilerin Fakülteyi de</w:t>
            </w:r>
            <w:r>
              <w:rPr>
                <w:rFonts w:ascii="Cambria" w:hAnsi="Cambria"/>
              </w:rPr>
              <w:t>ğerlendirme anketlerini hazırlayıp</w:t>
            </w:r>
            <w:r w:rsidRPr="00853CB0">
              <w:rPr>
                <w:rFonts w:ascii="Cambria" w:hAnsi="Cambria"/>
              </w:rPr>
              <w:t xml:space="preserve"> ve uygulanmasını sağla</w:t>
            </w:r>
            <w:r>
              <w:rPr>
                <w:rFonts w:ascii="Cambria" w:hAnsi="Cambria"/>
              </w:rPr>
              <w:t>mak</w:t>
            </w:r>
            <w:r w:rsidRPr="00853CB0">
              <w:rPr>
                <w:rFonts w:ascii="Cambria" w:hAnsi="Cambria"/>
              </w:rPr>
              <w:t>.</w:t>
            </w:r>
          </w:p>
          <w:p w:rsidR="00A56010" w:rsidRPr="00853CB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6200D9">
              <w:rPr>
                <w:rFonts w:ascii="Cambria" w:hAnsi="Cambria"/>
              </w:rPr>
              <w:t>Eğitim-öğretim ve araştırmalarla</w:t>
            </w:r>
            <w:r w:rsidRPr="00853CB0">
              <w:rPr>
                <w:rFonts w:ascii="Cambria" w:hAnsi="Cambria"/>
              </w:rPr>
              <w:t xml:space="preserve"> ilgili poli</w:t>
            </w:r>
            <w:r>
              <w:rPr>
                <w:rFonts w:ascii="Cambria" w:hAnsi="Cambria"/>
              </w:rPr>
              <w:t>tikalar ve stratejiler geliştirmek</w:t>
            </w:r>
            <w:r w:rsidRPr="00853CB0">
              <w:rPr>
                <w:rFonts w:ascii="Cambria" w:hAnsi="Cambria"/>
              </w:rPr>
              <w:t>.</w:t>
            </w:r>
          </w:p>
          <w:p w:rsidR="00A56010" w:rsidRPr="00F10248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Öğrenci konseyi ve temsilciliği için gerekli olan seçimleri</w:t>
            </w:r>
            <w:r>
              <w:rPr>
                <w:rFonts w:ascii="Cambria" w:hAnsi="Cambria"/>
              </w:rPr>
              <w:t>n</w:t>
            </w:r>
            <w:r w:rsidRPr="00853CB0">
              <w:rPr>
                <w:rFonts w:ascii="Cambria" w:hAnsi="Cambria"/>
              </w:rPr>
              <w:t xml:space="preserve"> yap</w:t>
            </w:r>
            <w:r>
              <w:rPr>
                <w:rFonts w:ascii="Cambria" w:hAnsi="Cambria"/>
              </w:rPr>
              <w:t>ılmasını sağlamak</w:t>
            </w:r>
            <w:r w:rsidRPr="00853CB0">
              <w:rPr>
                <w:rFonts w:ascii="Cambria" w:hAnsi="Cambria"/>
              </w:rPr>
              <w:t>.</w:t>
            </w:r>
          </w:p>
          <w:p w:rsidR="00A56010" w:rsidRPr="00853CB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Akademik Genel Kurul sunu</w:t>
            </w:r>
            <w:r>
              <w:rPr>
                <w:rFonts w:ascii="Cambria" w:hAnsi="Cambria"/>
              </w:rPr>
              <w:t>m</w:t>
            </w:r>
            <w:r w:rsidRPr="00853CB0">
              <w:rPr>
                <w:rFonts w:ascii="Cambria" w:hAnsi="Cambria"/>
              </w:rPr>
              <w:t>larını</w:t>
            </w:r>
            <w:r>
              <w:rPr>
                <w:rFonts w:ascii="Cambria" w:hAnsi="Cambria"/>
              </w:rPr>
              <w:t>n</w:t>
            </w:r>
            <w:r w:rsidRPr="00853CB0">
              <w:rPr>
                <w:rFonts w:ascii="Cambria" w:hAnsi="Cambria"/>
              </w:rPr>
              <w:t xml:space="preserve"> hazırla</w:t>
            </w:r>
            <w:r>
              <w:rPr>
                <w:rFonts w:ascii="Cambria" w:hAnsi="Cambria"/>
              </w:rPr>
              <w:t>nmasına destek olmak</w:t>
            </w:r>
            <w:r w:rsidRPr="00853CB0">
              <w:rPr>
                <w:rFonts w:ascii="Cambria" w:hAnsi="Cambria"/>
              </w:rPr>
              <w:t>.</w:t>
            </w:r>
          </w:p>
          <w:p w:rsidR="00A56010" w:rsidRPr="00B73005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B73005">
              <w:rPr>
                <w:rFonts w:ascii="Cambria" w:hAnsi="Cambria"/>
              </w:rPr>
              <w:t>Fakültede öğretim üyeleri tarafından yürütülen projeleri takip etmek.</w:t>
            </w:r>
          </w:p>
          <w:p w:rsidR="00A56010" w:rsidRPr="00853CB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Dekan ol</w:t>
            </w:r>
            <w:r>
              <w:rPr>
                <w:rFonts w:ascii="Cambria" w:hAnsi="Cambria"/>
              </w:rPr>
              <w:t>madığı zamanlarda Dekanlığa veka</w:t>
            </w:r>
            <w:r w:rsidRPr="00853CB0">
              <w:rPr>
                <w:rFonts w:ascii="Cambria" w:hAnsi="Cambria"/>
              </w:rPr>
              <w:t>let e</w:t>
            </w:r>
            <w:r>
              <w:rPr>
                <w:rFonts w:ascii="Cambria" w:hAnsi="Cambria"/>
              </w:rPr>
              <w:t>tmek</w:t>
            </w:r>
            <w:r w:rsidRPr="00853CB0">
              <w:rPr>
                <w:rFonts w:ascii="Cambria" w:hAnsi="Cambria"/>
              </w:rPr>
              <w:t>.</w:t>
            </w:r>
          </w:p>
          <w:p w:rsidR="00A56010" w:rsidRPr="00614C14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.</w:t>
            </w:r>
          </w:p>
          <w:p w:rsidR="00A5601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Bağlı bulunduğu yönetici veya üst yöneticilerin, görev alanı ile ilgili vereceği diğer işleri iş sağlığı ve güvenliği </w:t>
            </w:r>
            <w:r>
              <w:rPr>
                <w:rFonts w:ascii="Cambria" w:hAnsi="Cambria"/>
              </w:rPr>
              <w:t>kurallarına uygun olarak yapmak.</w:t>
            </w:r>
          </w:p>
          <w:p w:rsidR="00A56010" w:rsidRDefault="00A56010" w:rsidP="00A56010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Dekan</w:t>
            </w:r>
            <w:r>
              <w:rPr>
                <w:rFonts w:ascii="Cambria" w:hAnsi="Cambria"/>
              </w:rPr>
              <w:t xml:space="preserve"> Yardımcısı</w:t>
            </w:r>
            <w:r w:rsidRPr="00853CB0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>
              <w:rPr>
                <w:rFonts w:ascii="Cambria" w:hAnsi="Cambria"/>
              </w:rPr>
              <w:t>Dekana</w:t>
            </w:r>
            <w:r w:rsidRPr="00853CB0">
              <w:rPr>
                <w:rFonts w:ascii="Cambria" w:hAnsi="Cambria"/>
              </w:rPr>
              <w:t xml:space="preserve"> karşı sorumludur. </w:t>
            </w:r>
          </w:p>
          <w:p w:rsidR="00A56010" w:rsidRPr="002C05F1" w:rsidRDefault="00A56010" w:rsidP="00A56010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</w:tc>
      </w:tr>
      <w:tr w:rsidR="00A56010" w:rsidRPr="0012131F" w:rsidTr="002302D4">
        <w:trPr>
          <w:gridAfter w:val="1"/>
          <w:wAfter w:w="6" w:type="dxa"/>
        </w:trPr>
        <w:tc>
          <w:tcPr>
            <w:tcW w:w="4957" w:type="dxa"/>
            <w:shd w:val="clear" w:color="auto" w:fill="F2F2F2" w:themeFill="background1" w:themeFillShade="F2"/>
          </w:tcPr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A56010" w:rsidRPr="0012131F" w:rsidTr="002302D4">
        <w:trPr>
          <w:gridAfter w:val="1"/>
          <w:wAfter w:w="6" w:type="dxa"/>
        </w:trPr>
        <w:tc>
          <w:tcPr>
            <w:tcW w:w="4957" w:type="dxa"/>
          </w:tcPr>
          <w:p w:rsidR="00A56010" w:rsidRDefault="00A56010" w:rsidP="002302D4">
            <w:pPr>
              <w:pStyle w:val="AralkYok"/>
              <w:jc w:val="center"/>
              <w:rPr>
                <w:rFonts w:ascii="Cambria" w:hAnsi="Cambria"/>
              </w:rPr>
            </w:pPr>
          </w:p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</w:t>
            </w:r>
            <w:r>
              <w:rPr>
                <w:rFonts w:ascii="Cambria" w:hAnsi="Cambria"/>
              </w:rPr>
              <w:t xml:space="preserve"> </w:t>
            </w:r>
            <w:r w:rsidRPr="0012131F">
              <w:rPr>
                <w:rFonts w:ascii="Cambria" w:hAnsi="Cambria"/>
              </w:rPr>
              <w:t>yerine getirmeyi kabul ve taahhüt ederim.</w:t>
            </w:r>
          </w:p>
        </w:tc>
        <w:tc>
          <w:tcPr>
            <w:tcW w:w="4671" w:type="dxa"/>
            <w:vMerge w:val="restart"/>
          </w:tcPr>
          <w:p w:rsidR="00A56010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A56010" w:rsidRDefault="00A56010" w:rsidP="002302D4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:rsidR="00A56010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A56010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A56010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56010" w:rsidRPr="0012131F" w:rsidTr="002302D4">
        <w:trPr>
          <w:gridAfter w:val="1"/>
          <w:wAfter w:w="6" w:type="dxa"/>
        </w:trPr>
        <w:tc>
          <w:tcPr>
            <w:tcW w:w="4957" w:type="dxa"/>
          </w:tcPr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A56010" w:rsidRDefault="00A56010" w:rsidP="002302D4">
            <w:pPr>
              <w:pStyle w:val="AralkYok"/>
              <w:rPr>
                <w:rFonts w:ascii="Cambria" w:hAnsi="Cambria"/>
                <w:b/>
              </w:rPr>
            </w:pPr>
          </w:p>
          <w:p w:rsidR="00A56010" w:rsidRPr="0012131F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A56010" w:rsidRPr="00014B18" w:rsidRDefault="00A56010" w:rsidP="002302D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4671" w:type="dxa"/>
            <w:vMerge/>
          </w:tcPr>
          <w:p w:rsidR="00A56010" w:rsidRPr="0012131F" w:rsidRDefault="00A56010" w:rsidP="002302D4">
            <w:pPr>
              <w:pStyle w:val="AralkYok"/>
              <w:rPr>
                <w:rFonts w:ascii="Cambria" w:hAnsi="Cambria"/>
              </w:rPr>
            </w:pPr>
          </w:p>
        </w:tc>
      </w:tr>
    </w:tbl>
    <w:p w:rsidR="00A56010" w:rsidRDefault="00A56010" w:rsidP="00A56010">
      <w:pPr>
        <w:pStyle w:val="AralkYok"/>
        <w:rPr>
          <w:rFonts w:ascii="Cambria" w:hAnsi="Cambria"/>
          <w:b/>
          <w:bCs/>
          <w:color w:val="002060"/>
        </w:rPr>
      </w:pPr>
    </w:p>
    <w:p w:rsidR="002D1BCC" w:rsidRDefault="002D1BCC"/>
    <w:sectPr w:rsidR="002D1BCC" w:rsidSect="001A09E2">
      <w:footerReference w:type="default" r:id="rId9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455" w:rsidRDefault="006A5455" w:rsidP="00F66D28">
      <w:pPr>
        <w:spacing w:after="0" w:line="240" w:lineRule="auto"/>
      </w:pPr>
      <w:r>
        <w:separator/>
      </w:r>
    </w:p>
  </w:endnote>
  <w:endnote w:type="continuationSeparator" w:id="0">
    <w:p w:rsidR="006A5455" w:rsidRDefault="006A5455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455" w:rsidRDefault="006A5455" w:rsidP="00F66D28">
      <w:pPr>
        <w:spacing w:after="0" w:line="240" w:lineRule="auto"/>
      </w:pPr>
      <w:r>
        <w:separator/>
      </w:r>
    </w:p>
  </w:footnote>
  <w:footnote w:type="continuationSeparator" w:id="0">
    <w:p w:rsidR="006A5455" w:rsidRDefault="006A5455" w:rsidP="00F6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8665E"/>
    <w:rsid w:val="000D2E16"/>
    <w:rsid w:val="00102695"/>
    <w:rsid w:val="00134933"/>
    <w:rsid w:val="001A09E2"/>
    <w:rsid w:val="002866E9"/>
    <w:rsid w:val="002C6122"/>
    <w:rsid w:val="002D1BCC"/>
    <w:rsid w:val="003D13D4"/>
    <w:rsid w:val="003E5896"/>
    <w:rsid w:val="006A5455"/>
    <w:rsid w:val="007D0FA0"/>
    <w:rsid w:val="00920BD7"/>
    <w:rsid w:val="009E35B7"/>
    <w:rsid w:val="00A35816"/>
    <w:rsid w:val="00A56010"/>
    <w:rsid w:val="00B0331C"/>
    <w:rsid w:val="00B06F9D"/>
    <w:rsid w:val="00B95D8C"/>
    <w:rsid w:val="00BF2915"/>
    <w:rsid w:val="00DC7666"/>
    <w:rsid w:val="00EA11E0"/>
    <w:rsid w:val="00F61239"/>
    <w:rsid w:val="00F6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A12E-1F54-43DE-9594-68A40CCC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2022-11-17T10:39:00Z</dcterms:created>
  <dcterms:modified xsi:type="dcterms:W3CDTF">2022-12-21T12:44:00Z</dcterms:modified>
</cp:coreProperties>
</file>