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2025/01</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02.01.2025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14:00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PAÜ SBF Toplantı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Misyon, Vizyon, Organizasyon şeması gözden geçirilecek</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Kalite komisyonu çalışma esasları oluşturulacak</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Paydaş toplantılarına dair iyileştirmeler</w:t>
                  </w:r>
                  <w:r>
                    <w:rPr>
                      <w:rFonts w:ascii="Arial" w:hAnsi="Arial" w:eastAsia="Arial"/>
                      <w:color w:val="000000"/>
                      <w:sz w:val="18"/>
                    </w:rPr>
                    <w:br/>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4. 2024 PUKO ları tamamlanacak ve SBF PUKO İzlem Formu oluşturulacak</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Misyon ve vizyon gözden geçirildi.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Organizasyon şeması güncellendi.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Kalite Komisyonu çalışma esasları oluşturuldu.</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İç ve dış paydaş toplantılarına dair iyileştirmeler çalışılıyor.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İç paydaş toplantısının 14 Ocak 2025 saat 14:00'te yapılmasına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Dış paydaş toplantısının eğitim-öğretim süreçlerinin daha iyi değerlendirilmesi ve eğitim programı geri bildirimlerinin daha iyi alınması için yılda bir kez yapılmasına karar verildi.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4</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PUKÖ süreçleri çalışılmaya devam ediyor.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Standart formlar ve kalite güvencesi dosyaları gözden geçirildi. Formların ilgili alanları güncellendi. Görev tanımları çıkarıldı, yerine çalışma esasları ve iş akışları eklendi.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9. Bazı formlar ve görev talimatları iptal edildi. İptal edilen formlar ve görev talimatları şu şekilde belirlendi:</w:t>
                  </w:r>
                  <w:r>
                    <w:rPr>
                      <w:rFonts w:ascii="Arial" w:hAnsi="Arial" w:eastAsia="Arial"/>
                      <w:color w:val="000000"/>
                      <w:sz w:val="20"/>
                    </w:rPr>
                    <w:br/>
                    <w:t xml:space="preserve">SBF.E.Ö 09, SBF.Y.İ 03, SBF.Y.İ. 05, SBF.Y.İ.07, SBF.Y.İ. 08, SBF.Y.İ. 09, SBF.Y.İ. 12, SBF.Ö.İ. 14, SBF.Ö.İ. 32, SBF.Y.İ. 28, SBF.Y.İ. 29, SBF.Y.İ. 30, SBF.Y.İ. 31, SBF.Y.İ. 32, SBF.Y.İ. 33, SBF.Y.İ. 43, SBF.Y.İ. 44, SBF.Y.İ. 48, GT 05, GT 06, GT 10, GT 13, GT 14, GT 15, GT 16, GT 17, GT 18, GT 19, GT 20, GT 21, GT 22, GT 23, GT 25, GT 26, GT 27, GT 28, GT 48.</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