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9D" w:rsidRPr="00C05230" w:rsidRDefault="007308B4" w:rsidP="00CC2A7C">
      <w:pPr>
        <w:spacing w:after="120"/>
        <w:jc w:val="both"/>
        <w:rPr>
          <w:b/>
          <w:sz w:val="24"/>
          <w:szCs w:val="24"/>
        </w:rPr>
      </w:pPr>
      <w:bookmarkStart w:id="0" w:name="_GoBack"/>
      <w:bookmarkEnd w:id="0"/>
      <w:r w:rsidRPr="00C05230">
        <w:rPr>
          <w:b/>
          <w:sz w:val="24"/>
          <w:szCs w:val="24"/>
        </w:rPr>
        <w:t>Politika</w:t>
      </w:r>
      <w:r w:rsidR="00E3529D" w:rsidRPr="00C05230">
        <w:rPr>
          <w:b/>
          <w:sz w:val="24"/>
          <w:szCs w:val="24"/>
        </w:rPr>
        <w:t>:</w:t>
      </w:r>
      <w:r w:rsidRPr="00C05230">
        <w:rPr>
          <w:b/>
          <w:sz w:val="24"/>
          <w:szCs w:val="24"/>
        </w:rPr>
        <w:t xml:space="preserve"> </w:t>
      </w:r>
    </w:p>
    <w:p w:rsidR="00E3529D" w:rsidRPr="00C05230" w:rsidRDefault="00D24410" w:rsidP="00CC2A7C">
      <w:pPr>
        <w:spacing w:after="120"/>
        <w:jc w:val="both"/>
        <w:rPr>
          <w:sz w:val="24"/>
          <w:szCs w:val="24"/>
        </w:rPr>
      </w:pPr>
      <w:r w:rsidRPr="00C05230">
        <w:rPr>
          <w:sz w:val="24"/>
          <w:szCs w:val="24"/>
        </w:rPr>
        <w:t>Pamukkale Üniversitesi;</w:t>
      </w:r>
    </w:p>
    <w:p w:rsidR="00D24410" w:rsidRPr="003328F1" w:rsidRDefault="00D24410" w:rsidP="00CC2A7C">
      <w:pPr>
        <w:numPr>
          <w:ilvl w:val="0"/>
          <w:numId w:val="5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Stratejik amaç, hedef ve performans göstergelerini sürekli değerlendirmeyi;</w:t>
      </w:r>
    </w:p>
    <w:p w:rsidR="00D24410" w:rsidRPr="003328F1" w:rsidRDefault="00D24410" w:rsidP="00CC2A7C">
      <w:pPr>
        <w:numPr>
          <w:ilvl w:val="0"/>
          <w:numId w:val="5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Yasal mevzuat; uluslararası ve ulusal kalite standartlarını temel alarak sürekli gelişmeyi,</w:t>
      </w:r>
    </w:p>
    <w:p w:rsidR="00D24410" w:rsidRPr="003328F1" w:rsidRDefault="00D24410" w:rsidP="00CC2A7C">
      <w:pPr>
        <w:numPr>
          <w:ilvl w:val="0"/>
          <w:numId w:val="6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Tüm süreçlerde iç ve dış paydaşların ihtiyaç ve beklentilerini karşılayan bir anlayışta olmayı,</w:t>
      </w:r>
    </w:p>
    <w:p w:rsidR="00D24410" w:rsidRPr="003328F1" w:rsidRDefault="00D24410" w:rsidP="00CC2A7C">
      <w:pPr>
        <w:numPr>
          <w:ilvl w:val="0"/>
          <w:numId w:val="6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Sürekli iyileştirme kültürünü oluşturmayı ve “Planla-Uygula-Kontrol et (gözden geçir)-İyileştir” yaklaşımını,</w:t>
      </w:r>
    </w:p>
    <w:p w:rsidR="00D24410" w:rsidRPr="003328F1" w:rsidRDefault="00D24410" w:rsidP="00CC2A7C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Kalite güvence sistemini tüm çalışanların katılımıyla yapılandırmayı,</w:t>
      </w:r>
    </w:p>
    <w:p w:rsidR="00D24410" w:rsidRPr="003328F1" w:rsidRDefault="00D24410" w:rsidP="00CC2A7C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Uluslararası kabul görmüş kalite sistemlerine göre yapılanmayı,</w:t>
      </w:r>
    </w:p>
    <w:p w:rsidR="00D24410" w:rsidRPr="003328F1" w:rsidRDefault="00D24410" w:rsidP="00CC2A7C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Uygulamalarda ve iletişimde zamanındalılığı,</w:t>
      </w:r>
    </w:p>
    <w:p w:rsidR="00D24410" w:rsidRPr="003328F1" w:rsidRDefault="00D24410" w:rsidP="00CC2A7C">
      <w:pPr>
        <w:numPr>
          <w:ilvl w:val="0"/>
          <w:numId w:val="7"/>
        </w:num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Geribildirim ve öneri kültürünü oluşturmayı</w:t>
      </w:r>
    </w:p>
    <w:p w:rsidR="00D24410" w:rsidRPr="003328F1" w:rsidRDefault="00D24410" w:rsidP="00CC2A7C">
      <w:p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Kalite Politikası olarak belirlemiştir.</w:t>
      </w:r>
    </w:p>
    <w:p w:rsidR="00E3529D" w:rsidRPr="00C05230" w:rsidRDefault="00D24410" w:rsidP="00CC2A7C">
      <w:pPr>
        <w:spacing w:after="120"/>
        <w:jc w:val="both"/>
        <w:rPr>
          <w:sz w:val="24"/>
          <w:szCs w:val="24"/>
        </w:rPr>
      </w:pPr>
      <w:r w:rsidRPr="00C05230">
        <w:rPr>
          <w:b/>
          <w:sz w:val="24"/>
          <w:szCs w:val="24"/>
        </w:rPr>
        <w:t>A</w:t>
      </w:r>
      <w:r w:rsidR="00900BDB" w:rsidRPr="00C05230">
        <w:rPr>
          <w:b/>
          <w:sz w:val="24"/>
          <w:szCs w:val="24"/>
        </w:rPr>
        <w:t>maç</w:t>
      </w:r>
      <w:r w:rsidR="00E3529D" w:rsidRPr="00C05230">
        <w:rPr>
          <w:sz w:val="24"/>
          <w:szCs w:val="24"/>
        </w:rPr>
        <w:t>:</w:t>
      </w:r>
    </w:p>
    <w:p w:rsidR="00593874" w:rsidRPr="003328F1" w:rsidRDefault="00593874" w:rsidP="00593874">
      <w:pPr>
        <w:shd w:val="clear" w:color="auto" w:fill="FFFFFF"/>
        <w:spacing w:after="120"/>
        <w:jc w:val="both"/>
        <w:rPr>
          <w:color w:val="333333"/>
          <w:sz w:val="24"/>
          <w:szCs w:val="24"/>
          <w:lang w:eastAsia="tr-TR"/>
        </w:rPr>
      </w:pPr>
      <w:r>
        <w:rPr>
          <w:bCs/>
          <w:color w:val="000000"/>
          <w:sz w:val="24"/>
          <w:szCs w:val="24"/>
          <w:lang w:eastAsia="tr-TR"/>
        </w:rPr>
        <w:t xml:space="preserve">Kalite Politikamız tüm birimlerimiz ve çalışanlarımızın üniversitemizde kalite yönetim sisteminin yapılanması ve sürdürülmesinde gerekli olan ve uyulması gereken asgari işleyişin açıklanmasıdır. </w:t>
      </w:r>
    </w:p>
    <w:p w:rsidR="00E3529D" w:rsidRPr="00C05230" w:rsidRDefault="00A60DEA" w:rsidP="00CC2A7C">
      <w:pPr>
        <w:spacing w:after="120"/>
        <w:jc w:val="both"/>
        <w:rPr>
          <w:sz w:val="24"/>
          <w:szCs w:val="24"/>
        </w:rPr>
      </w:pPr>
      <w:r w:rsidRPr="00C05230">
        <w:rPr>
          <w:b/>
          <w:sz w:val="24"/>
          <w:szCs w:val="24"/>
        </w:rPr>
        <w:t>Sorumluluk</w:t>
      </w:r>
      <w:r w:rsidR="00E3529D" w:rsidRPr="00C05230">
        <w:rPr>
          <w:b/>
          <w:sz w:val="24"/>
          <w:szCs w:val="24"/>
        </w:rPr>
        <w:t>:</w:t>
      </w:r>
    </w:p>
    <w:p w:rsidR="008C7A80" w:rsidRDefault="00D24410" w:rsidP="00CC2A7C">
      <w:pPr>
        <w:spacing w:after="120"/>
        <w:ind w:right="-72"/>
        <w:jc w:val="both"/>
        <w:rPr>
          <w:sz w:val="24"/>
          <w:szCs w:val="24"/>
        </w:rPr>
      </w:pPr>
      <w:r w:rsidRPr="00C05230">
        <w:rPr>
          <w:sz w:val="24"/>
          <w:szCs w:val="24"/>
        </w:rPr>
        <w:t>Kalite politikasının uygulan</w:t>
      </w:r>
      <w:r w:rsidR="008C7A80" w:rsidRPr="00C05230">
        <w:rPr>
          <w:sz w:val="24"/>
          <w:szCs w:val="24"/>
        </w:rPr>
        <w:t xml:space="preserve">masından ve kalite politikasına uyum durumunun                                                                           değerlendirilmesinden </w:t>
      </w:r>
      <w:r w:rsidRPr="00C05230">
        <w:rPr>
          <w:sz w:val="24"/>
          <w:szCs w:val="24"/>
        </w:rPr>
        <w:t>Üniversite Senatosu ve Rektörlük Makamı</w:t>
      </w:r>
      <w:r w:rsidR="008C7A80" w:rsidRPr="00C05230">
        <w:rPr>
          <w:sz w:val="24"/>
          <w:szCs w:val="24"/>
        </w:rPr>
        <w:t xml:space="preserve"> ve Üniversite Birimlerinin    Akademik ve İdari Üst Yöneticileri sorumludur. İşleyişte tüm işleyişten sorumlu akademik ve idari personel kalite politikasına uyumludurlar. </w:t>
      </w:r>
    </w:p>
    <w:p w:rsidR="00BD23A5" w:rsidRPr="00C05230" w:rsidRDefault="00BD23A5" w:rsidP="00CC2A7C">
      <w:pPr>
        <w:spacing w:after="120"/>
        <w:ind w:right="-72"/>
        <w:jc w:val="both"/>
        <w:rPr>
          <w:sz w:val="24"/>
          <w:szCs w:val="24"/>
        </w:rPr>
      </w:pPr>
      <w:r>
        <w:rPr>
          <w:sz w:val="24"/>
          <w:szCs w:val="24"/>
        </w:rPr>
        <w:t>Üniversitenin hem iç paydaşı hem de dış paydaşı (yararlanan)  konumundaki öğrencilerinin de kalite politikasının uygulanmasında yer almaları önemlidir.</w:t>
      </w:r>
    </w:p>
    <w:p w:rsidR="008C7A80" w:rsidRPr="00C05230" w:rsidRDefault="008C7A80" w:rsidP="00CC2A7C">
      <w:pPr>
        <w:spacing w:after="120"/>
        <w:ind w:right="-72"/>
        <w:jc w:val="both"/>
        <w:rPr>
          <w:sz w:val="24"/>
          <w:szCs w:val="24"/>
        </w:rPr>
      </w:pPr>
      <w:r w:rsidRPr="00C05230">
        <w:rPr>
          <w:sz w:val="24"/>
          <w:szCs w:val="24"/>
        </w:rPr>
        <w:t>Üniversitedeki uygulamaların izlenmesi, değerlendirilerek Rektörlük makamına sunulmasında Kalite Komisyonu ve Kalite Yönetimi ve ver</w:t>
      </w:r>
      <w:r w:rsidR="00BD23A5">
        <w:rPr>
          <w:sz w:val="24"/>
          <w:szCs w:val="24"/>
        </w:rPr>
        <w:t>i</w:t>
      </w:r>
      <w:r w:rsidRPr="00C05230">
        <w:rPr>
          <w:sz w:val="24"/>
          <w:szCs w:val="24"/>
        </w:rPr>
        <w:t xml:space="preserve"> Değerlendirme UYGAR Merkezi eşgüdüm içerisinde çalışırlar</w:t>
      </w:r>
    </w:p>
    <w:p w:rsidR="00E3529D" w:rsidRPr="00C05230" w:rsidRDefault="00DF69E7" w:rsidP="00CC2A7C">
      <w:pPr>
        <w:spacing w:after="120"/>
        <w:jc w:val="both"/>
        <w:rPr>
          <w:b/>
          <w:sz w:val="24"/>
          <w:szCs w:val="24"/>
        </w:rPr>
      </w:pPr>
      <w:r w:rsidRPr="00C05230">
        <w:rPr>
          <w:b/>
          <w:sz w:val="24"/>
          <w:szCs w:val="24"/>
        </w:rPr>
        <w:t>Temel</w:t>
      </w:r>
      <w:r w:rsidR="00A60DEA" w:rsidRPr="00C05230">
        <w:rPr>
          <w:b/>
          <w:sz w:val="24"/>
          <w:szCs w:val="24"/>
        </w:rPr>
        <w:t xml:space="preserve"> </w:t>
      </w:r>
      <w:r w:rsidR="008C7A80" w:rsidRPr="00C05230">
        <w:rPr>
          <w:b/>
          <w:sz w:val="24"/>
          <w:szCs w:val="24"/>
        </w:rPr>
        <w:t>unsurlar</w:t>
      </w:r>
      <w:r w:rsidR="00E3529D" w:rsidRPr="00C05230">
        <w:rPr>
          <w:b/>
          <w:sz w:val="24"/>
          <w:szCs w:val="24"/>
        </w:rPr>
        <w:t>:</w:t>
      </w:r>
    </w:p>
    <w:p w:rsidR="008C7A80" w:rsidRPr="00C05230" w:rsidRDefault="008C7A80" w:rsidP="00CC2A7C">
      <w:pPr>
        <w:jc w:val="both"/>
        <w:rPr>
          <w:b/>
          <w:sz w:val="24"/>
          <w:szCs w:val="24"/>
        </w:rPr>
      </w:pPr>
      <w:r w:rsidRPr="00C05230">
        <w:rPr>
          <w:b/>
          <w:sz w:val="24"/>
          <w:szCs w:val="24"/>
        </w:rPr>
        <w:t>Pamukkale Üniversitesi;</w:t>
      </w:r>
    </w:p>
    <w:p w:rsidR="008C7A80" w:rsidRPr="003328F1" w:rsidRDefault="008C7A80" w:rsidP="00CC2A7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Yasal mevzuatın tümünün ve ilgili kalite standardların minimum şartlarını karşılayacak şekilde kalite kontrol süreçlerini uygulayarak,</w:t>
      </w:r>
    </w:p>
    <w:p w:rsidR="008C7A80" w:rsidRPr="003328F1" w:rsidRDefault="008C7A80" w:rsidP="00CC2A7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lastRenderedPageBreak/>
        <w:t>Hedeflenen sonuçların elde edildiğini gösterecek anahtar sonuç göstergelerine göre yöntemler geliştirerek,</w:t>
      </w:r>
    </w:p>
    <w:p w:rsidR="008C7A80" w:rsidRPr="003328F1" w:rsidRDefault="008C7A80" w:rsidP="00CC2A7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Her birimde Üniversite’nin kalite sisteminin uygulanması  sorumluluğunu üstlenecek uygun vasıflarda takım liderini net olarak belirleyerek,</w:t>
      </w:r>
    </w:p>
    <w:p w:rsidR="008C7A80" w:rsidRPr="003328F1" w:rsidRDefault="008C7A80" w:rsidP="00CC2A7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Üniversite’nin tüm süreçlerinde planlanan uygulamaların hedeflendiği şekilde ve zamanında gerçekleştirildiğini kanıtlayan kalite güvence sistemini kurarak (Tüm gözden geçirme, değerlendirme, geri bildirim, öneri ve şikayetlerin sonuçlarının raporlanmasını kapsar),</w:t>
      </w:r>
    </w:p>
    <w:p w:rsidR="008C7A80" w:rsidRPr="003328F1" w:rsidRDefault="008C7A80" w:rsidP="00CC2A7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Proje yönetimi ilkelerinin tüm üniversite çalışanları tarafından benimsenmesini sağlayarak,</w:t>
      </w:r>
    </w:p>
    <w:p w:rsidR="008C7A80" w:rsidRPr="003328F1" w:rsidRDefault="008C7A80" w:rsidP="00CC2A7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Proje odaklı çalışmayı, uygulamalarda en gelişmiş teknolojileri etkin ve verimli kullanmayı, projeleri eksiksiz ve zamanında tamamlamayı ve sonuç raporlarını yazma kültürünü geliştirerek,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Ölçme ve değerlendirme yöntemiyle anahtar sonuçları ölçerek, her birimin bu değerlendirme sonuçlarına göre sürekli iyileştirme yöntemlerini uygulamasını sağlayarak,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Her akademik çalışmayı ve deneyimi Üniversite’nin politikası, prosedürleri ve ilgili yasal mevzuata göre destekleyerek,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Tüm fonksiyonel, organizasyonel birimlerin ve bireysel olarak çalışanların plan ve hedeflerinin Üniversite’nin Stratejik Plan’ın hedef ve öncelikleriyle ilişkilendirerek,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Tüm çalışanların iyi yönetildiğini ve insan kaynaklarının yeterli olduğunu değerlendirerek,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Akademik kalite ve dürüstlük temeline göre profesyonel gelişim için mali destek dahil gerekli destekleri sağlayarak, 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Birimlere yeterli güvenli ve iyi yapılandırılmış fiziksel ve elektronik kaynaklar sağlayarak,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Birimlerin kalite şartlarını sağlamaları için rol model yöneticilerle çalışarak,</w:t>
      </w:r>
    </w:p>
    <w:p w:rsidR="008C7A80" w:rsidRPr="003328F1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Tüm öğrencilere eşit yaklaşımla onları destekleyerek,</w:t>
      </w:r>
    </w:p>
    <w:p w:rsidR="008C7A80" w:rsidRPr="00C05230" w:rsidRDefault="008C7A80" w:rsidP="00CC2A7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eastAsia="tr-TR"/>
        </w:rPr>
      </w:pPr>
      <w:r w:rsidRPr="00C05230">
        <w:rPr>
          <w:bCs/>
          <w:color w:val="000000"/>
          <w:sz w:val="24"/>
          <w:szCs w:val="24"/>
          <w:lang w:eastAsia="tr-TR"/>
        </w:rPr>
        <w:t>Kalite ve standartlara uygunluğu iç ve dış paydaşların geri bildirimleriyle değerlendirerek</w:t>
      </w:r>
    </w:p>
    <w:p w:rsidR="00E3529D" w:rsidRPr="00C05230" w:rsidRDefault="00C05230" w:rsidP="000D7C84">
      <w:pPr>
        <w:shd w:val="clear" w:color="auto" w:fill="FFFFFF"/>
        <w:spacing w:before="100" w:beforeAutospacing="1" w:after="120"/>
        <w:jc w:val="both"/>
        <w:rPr>
          <w:sz w:val="24"/>
          <w:szCs w:val="24"/>
        </w:rPr>
      </w:pPr>
      <w:r w:rsidRPr="00C05230">
        <w:rPr>
          <w:bCs/>
          <w:color w:val="000000"/>
          <w:sz w:val="24"/>
          <w:szCs w:val="24"/>
          <w:lang w:eastAsia="tr-TR"/>
        </w:rPr>
        <w:t>Sürekli iyileştirmeyi planlamıştır.</w:t>
      </w:r>
      <w:r w:rsidR="000D7C84" w:rsidRPr="00C05230">
        <w:rPr>
          <w:sz w:val="24"/>
          <w:szCs w:val="24"/>
        </w:rPr>
        <w:t xml:space="preserve"> </w:t>
      </w:r>
    </w:p>
    <w:sectPr w:rsidR="00E3529D" w:rsidRPr="00C05230" w:rsidSect="0011581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F7" w:rsidRDefault="00561DF7">
      <w:r>
        <w:separator/>
      </w:r>
    </w:p>
  </w:endnote>
  <w:endnote w:type="continuationSeparator" w:id="0">
    <w:p w:rsidR="00561DF7" w:rsidRDefault="0056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84" w:rsidRPr="000D7C84" w:rsidRDefault="003D5AB1">
    <w:pPr>
      <w:pStyle w:val="Altbilgi"/>
      <w:rPr>
        <w:lang w:val="tr-TR"/>
      </w:rPr>
    </w:pPr>
    <w:r>
      <w:rPr>
        <w:lang w:val="tr-TR"/>
      </w:rPr>
      <w:t>Senato</w:t>
    </w:r>
    <w:r w:rsidR="00241AC4">
      <w:rPr>
        <w:lang w:val="tr-TR"/>
      </w:rPr>
      <w:t xml:space="preserve"> Kararı (Tarih: 18.05.2018; Sayı: 10/01</w:t>
    </w:r>
    <w:r w:rsidR="00A01546">
      <w:rPr>
        <w:lang w:val="tr-TR"/>
      </w:rPr>
      <w:t>)</w:t>
    </w:r>
    <w:r w:rsidR="00241AC4">
      <w:rPr>
        <w:lang w:val="tr-TR"/>
      </w:rPr>
      <w:tab/>
    </w:r>
    <w:r w:rsidR="00241AC4">
      <w:rPr>
        <w:lang w:val="tr-TR"/>
      </w:rPr>
      <w:tab/>
    </w:r>
    <w:r w:rsidR="000D7C84">
      <w:rPr>
        <w:lang w:val="tr-TR"/>
      </w:rPr>
      <w:t xml:space="preserve">Sayfa/Toplam sayfa: </w:t>
    </w:r>
    <w:r w:rsidR="000D7C84" w:rsidRPr="000D7C84">
      <w:rPr>
        <w:lang w:val="tr-TR"/>
      </w:rPr>
      <w:fldChar w:fldCharType="begin"/>
    </w:r>
    <w:r w:rsidR="000D7C84" w:rsidRPr="000D7C84">
      <w:rPr>
        <w:lang w:val="tr-TR"/>
      </w:rPr>
      <w:instrText xml:space="preserve"> PAGE   \* MERGEFORMAT </w:instrText>
    </w:r>
    <w:r w:rsidR="000D7C84" w:rsidRPr="000D7C84">
      <w:rPr>
        <w:lang w:val="tr-TR"/>
      </w:rPr>
      <w:fldChar w:fldCharType="separate"/>
    </w:r>
    <w:r w:rsidR="00C82042">
      <w:rPr>
        <w:noProof/>
        <w:lang w:val="tr-TR"/>
      </w:rPr>
      <w:t>2</w:t>
    </w:r>
    <w:r w:rsidR="000D7C84" w:rsidRPr="000D7C84">
      <w:rPr>
        <w:noProof/>
        <w:lang w:val="tr-TR"/>
      </w:rPr>
      <w:fldChar w:fldCharType="end"/>
    </w:r>
    <w:r w:rsidR="000D7C84">
      <w:rPr>
        <w:noProof/>
        <w:lang w:val="tr-TR"/>
      </w:rPr>
      <w:t>/</w:t>
    </w:r>
    <w:r w:rsidR="000D7C84">
      <w:rPr>
        <w:noProof/>
        <w:lang w:val="tr-TR"/>
      </w:rPr>
      <w:fldChar w:fldCharType="begin"/>
    </w:r>
    <w:r w:rsidR="000D7C84">
      <w:rPr>
        <w:noProof/>
        <w:lang w:val="tr-TR"/>
      </w:rPr>
      <w:instrText xml:space="preserve"> NUMPAGES   \* MERGEFORMAT </w:instrText>
    </w:r>
    <w:r w:rsidR="000D7C84">
      <w:rPr>
        <w:noProof/>
        <w:lang w:val="tr-TR"/>
      </w:rPr>
      <w:fldChar w:fldCharType="separate"/>
    </w:r>
    <w:r w:rsidR="00C82042">
      <w:rPr>
        <w:noProof/>
        <w:lang w:val="tr-TR"/>
      </w:rPr>
      <w:t>2</w:t>
    </w:r>
    <w:r w:rsidR="000D7C84">
      <w:rPr>
        <w:noProof/>
        <w:lang w:val="tr-T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E1" w:rsidRDefault="002C7ED4" w:rsidP="002C7ED4">
    <w:pPr>
      <w:pStyle w:val="Altbilgi"/>
    </w:pPr>
    <w:r>
      <w:t xml:space="preserve"> </w:t>
    </w: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1"/>
      <w:gridCol w:w="3544"/>
      <w:gridCol w:w="2126"/>
      <w:gridCol w:w="1843"/>
    </w:tblGrid>
    <w:tr w:rsidR="008516BC" w:rsidRPr="00C1041E" w:rsidTr="005A0E23">
      <w:tc>
        <w:tcPr>
          <w:tcW w:w="1951" w:type="dxa"/>
        </w:tcPr>
        <w:p w:rsidR="008516BC" w:rsidRPr="00C1041E" w:rsidRDefault="008516BC" w:rsidP="008516BC">
          <w:pPr>
            <w:rPr>
              <w:b/>
            </w:rPr>
          </w:pPr>
          <w:r w:rsidRPr="00C1041E">
            <w:rPr>
              <w:b/>
            </w:rPr>
            <w:t>Hazırlayan</w:t>
          </w:r>
        </w:p>
      </w:tc>
      <w:tc>
        <w:tcPr>
          <w:tcW w:w="3544" w:type="dxa"/>
        </w:tcPr>
        <w:p w:rsidR="008516BC" w:rsidRPr="00C1041E" w:rsidRDefault="008516BC" w:rsidP="008516BC">
          <w:pPr>
            <w:rPr>
              <w:b/>
            </w:rPr>
          </w:pPr>
          <w:r>
            <w:t>KAVDEM (Karar Tarihi/No)</w:t>
          </w:r>
        </w:p>
      </w:tc>
      <w:tc>
        <w:tcPr>
          <w:tcW w:w="2126" w:type="dxa"/>
        </w:tcPr>
        <w:p w:rsidR="008516BC" w:rsidRPr="00C1041E" w:rsidRDefault="008516BC" w:rsidP="008516BC">
          <w:pPr>
            <w:ind w:left="2862" w:hanging="2862"/>
            <w:rPr>
              <w:b/>
            </w:rPr>
          </w:pPr>
          <w:r w:rsidRPr="00C1041E">
            <w:rPr>
              <w:b/>
            </w:rPr>
            <w:t>Yayın Tarihi:</w:t>
          </w:r>
          <w:r>
            <w:t xml:space="preserve"> </w:t>
          </w:r>
        </w:p>
      </w:tc>
      <w:tc>
        <w:tcPr>
          <w:tcW w:w="1843" w:type="dxa"/>
        </w:tcPr>
        <w:p w:rsidR="008516BC" w:rsidRPr="00C1041E" w:rsidRDefault="008516BC" w:rsidP="008516BC">
          <w:pPr>
            <w:ind w:left="2862" w:hanging="2862"/>
            <w:rPr>
              <w:b/>
            </w:rPr>
          </w:pPr>
          <w:r w:rsidRPr="0016449F">
            <w:t>gg.aa.yyyy</w:t>
          </w:r>
        </w:p>
      </w:tc>
    </w:tr>
    <w:tr w:rsidR="008516BC" w:rsidRPr="00657798" w:rsidTr="005A0E23">
      <w:trPr>
        <w:trHeight w:val="178"/>
      </w:trPr>
      <w:tc>
        <w:tcPr>
          <w:tcW w:w="1951" w:type="dxa"/>
        </w:tcPr>
        <w:p w:rsidR="008516BC" w:rsidRPr="001A7849" w:rsidRDefault="008516BC" w:rsidP="008516BC">
          <w:pPr>
            <w:rPr>
              <w:b/>
            </w:rPr>
          </w:pPr>
          <w:r w:rsidRPr="00C1041E">
            <w:rPr>
              <w:b/>
            </w:rPr>
            <w:t>Gözden Geçiren</w:t>
          </w:r>
        </w:p>
      </w:tc>
      <w:tc>
        <w:tcPr>
          <w:tcW w:w="3544" w:type="dxa"/>
        </w:tcPr>
        <w:p w:rsidR="008516BC" w:rsidRPr="00657798" w:rsidRDefault="008516BC" w:rsidP="008516BC">
          <w:r>
            <w:t>Kalite Komisyonu ((Karar Tarihi/No)</w:t>
          </w:r>
        </w:p>
      </w:tc>
      <w:tc>
        <w:tcPr>
          <w:tcW w:w="2126" w:type="dxa"/>
        </w:tcPr>
        <w:p w:rsidR="008516BC" w:rsidRDefault="008516BC" w:rsidP="008516BC">
          <w:pPr>
            <w:ind w:left="2862" w:hanging="2862"/>
          </w:pPr>
          <w:r w:rsidRPr="00C1041E">
            <w:rPr>
              <w:b/>
            </w:rPr>
            <w:t>Revizyon tarihi/No:</w:t>
          </w:r>
          <w:r w:rsidRPr="0016449F">
            <w:t xml:space="preserve"> </w:t>
          </w:r>
        </w:p>
      </w:tc>
      <w:tc>
        <w:tcPr>
          <w:tcW w:w="1843" w:type="dxa"/>
        </w:tcPr>
        <w:p w:rsidR="008516BC" w:rsidRPr="00C1041E" w:rsidRDefault="008516BC" w:rsidP="008516BC">
          <w:pPr>
            <w:ind w:left="2862" w:hanging="2862"/>
            <w:rPr>
              <w:b/>
            </w:rPr>
          </w:pPr>
          <w:r w:rsidRPr="0016449F">
            <w:t>gg.aa.yyyy/##</w:t>
          </w:r>
        </w:p>
      </w:tc>
    </w:tr>
    <w:tr w:rsidR="008516BC" w:rsidRPr="00657798" w:rsidTr="005A0E23">
      <w:tc>
        <w:tcPr>
          <w:tcW w:w="1951" w:type="dxa"/>
        </w:tcPr>
        <w:p w:rsidR="008516BC" w:rsidRPr="001A7849" w:rsidRDefault="008516BC" w:rsidP="008516BC">
          <w:pPr>
            <w:rPr>
              <w:b/>
            </w:rPr>
          </w:pPr>
          <w:r w:rsidRPr="001A7849">
            <w:rPr>
              <w:b/>
            </w:rPr>
            <w:t>Onaylayan</w:t>
          </w:r>
        </w:p>
      </w:tc>
      <w:tc>
        <w:tcPr>
          <w:tcW w:w="3544" w:type="dxa"/>
        </w:tcPr>
        <w:p w:rsidR="008516BC" w:rsidRPr="001A7849" w:rsidRDefault="008516BC" w:rsidP="008516BC">
          <w:pPr>
            <w:ind w:left="2862" w:hanging="2862"/>
          </w:pPr>
          <w:r w:rsidRPr="001A7849">
            <w:t>Senato (Karar Tarihi/Sayı</w:t>
          </w:r>
        </w:p>
      </w:tc>
      <w:tc>
        <w:tcPr>
          <w:tcW w:w="2126" w:type="dxa"/>
        </w:tcPr>
        <w:p w:rsidR="008516BC" w:rsidRDefault="008516BC" w:rsidP="008516BC">
          <w:pPr>
            <w:ind w:left="2862" w:hanging="2862"/>
          </w:pPr>
          <w:r w:rsidRPr="006D4543">
            <w:rPr>
              <w:b/>
            </w:rPr>
            <w:t>Sayfa/Toplam</w:t>
          </w:r>
          <w:r>
            <w:rPr>
              <w:b/>
            </w:rPr>
            <w:t xml:space="preserve">/Sayfa: </w:t>
          </w:r>
        </w:p>
      </w:tc>
      <w:tc>
        <w:tcPr>
          <w:tcW w:w="1843" w:type="dxa"/>
        </w:tcPr>
        <w:p w:rsidR="008516BC" w:rsidRPr="006D4543" w:rsidRDefault="008516BC" w:rsidP="008516BC">
          <w:pPr>
            <w:ind w:left="2862" w:hanging="2862"/>
            <w:rPr>
              <w:b/>
            </w:rPr>
          </w:pPr>
          <w:r>
            <w:rPr>
              <w:b/>
            </w:rPr>
            <w:t>#/#</w:t>
          </w:r>
        </w:p>
      </w:tc>
    </w:tr>
  </w:tbl>
  <w:p w:rsidR="008516BC" w:rsidRDefault="008516BC" w:rsidP="008516BC">
    <w:pPr>
      <w:pStyle w:val="Altbilgi"/>
    </w:pPr>
    <w:r>
      <w:t xml:space="preserve">Dosyaya elektronik erişim adresi: </w:t>
    </w:r>
  </w:p>
  <w:p w:rsidR="008516BC" w:rsidRPr="002C7ED4" w:rsidRDefault="008516BC" w:rsidP="002C7E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F7" w:rsidRDefault="00561DF7">
      <w:r>
        <w:separator/>
      </w:r>
    </w:p>
  </w:footnote>
  <w:footnote w:type="continuationSeparator" w:id="0">
    <w:p w:rsidR="00561DF7" w:rsidRDefault="0056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E1" w:rsidRDefault="00EC5BE1" w:rsidP="00BD17C1">
    <w:pPr>
      <w:pStyle w:val="stbilgi"/>
    </w:pPr>
  </w:p>
  <w:p w:rsidR="00115817" w:rsidRDefault="00115817" w:rsidP="00115817">
    <w:pPr>
      <w:pStyle w:val="stbilgi"/>
    </w:pPr>
  </w:p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7"/>
      <w:gridCol w:w="8364"/>
    </w:tblGrid>
    <w:tr w:rsidR="000D7C84" w:rsidTr="000D7C84">
      <w:trPr>
        <w:cantSplit/>
        <w:trHeight w:val="286"/>
      </w:trPr>
      <w:tc>
        <w:tcPr>
          <w:tcW w:w="1447" w:type="dxa"/>
          <w:vMerge w:val="restart"/>
          <w:tcBorders>
            <w:bottom w:val="single" w:sz="4" w:space="0" w:color="auto"/>
          </w:tcBorders>
          <w:vAlign w:val="center"/>
        </w:tcPr>
        <w:p w:rsidR="000D7C84" w:rsidRPr="006564CB" w:rsidRDefault="000D7C84" w:rsidP="0083105F">
          <w:pPr>
            <w:pStyle w:val="Balk6"/>
            <w:jc w:val="center"/>
            <w:rPr>
              <w:noProof/>
              <w:snapToGrid/>
              <w:lang w:val="tr-TR" w:eastAsia="tr-TR"/>
            </w:rPr>
          </w:pPr>
          <w:r w:rsidRPr="006564CB">
            <w:rPr>
              <w:noProof/>
              <w:snapToGrid/>
              <w:lang w:val="tr-TR" w:eastAsia="tr-TR"/>
            </w:rPr>
            <w:drawing>
              <wp:inline distT="0" distB="0" distL="0" distR="0" wp14:anchorId="6564370E" wp14:editId="50A0FBB6">
                <wp:extent cx="770890" cy="770890"/>
                <wp:effectExtent l="0" t="0" r="0" b="0"/>
                <wp:docPr id="2" name="Picture 2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Merge w:val="restart"/>
          <w:tcBorders>
            <w:bottom w:val="single" w:sz="4" w:space="0" w:color="auto"/>
          </w:tcBorders>
          <w:vAlign w:val="center"/>
        </w:tcPr>
        <w:p w:rsidR="000D7C84" w:rsidRPr="003C5800" w:rsidRDefault="000D7C84" w:rsidP="0083105F">
          <w:pPr>
            <w:pStyle w:val="Balk6"/>
            <w:jc w:val="center"/>
            <w:rPr>
              <w:sz w:val="32"/>
            </w:rPr>
          </w:pPr>
          <w:r w:rsidRPr="003C5800">
            <w:t>Pamukkale Üniversitesi</w:t>
          </w:r>
        </w:p>
        <w:p w:rsidR="000D7C84" w:rsidRPr="003C5800" w:rsidRDefault="000D7C84" w:rsidP="0083105F">
          <w:pPr>
            <w:pStyle w:val="Balk6"/>
            <w:jc w:val="center"/>
            <w:rPr>
              <w:sz w:val="32"/>
            </w:rPr>
          </w:pPr>
          <w:r>
            <w:rPr>
              <w:sz w:val="32"/>
            </w:rPr>
            <w:t>Kalite Politikası</w:t>
          </w:r>
        </w:p>
      </w:tc>
    </w:tr>
    <w:tr w:rsidR="000D7C84" w:rsidTr="000D7C84">
      <w:trPr>
        <w:trHeight w:val="556"/>
      </w:trPr>
      <w:tc>
        <w:tcPr>
          <w:tcW w:w="1447" w:type="dxa"/>
          <w:vMerge/>
        </w:tcPr>
        <w:p w:rsidR="000D7C84" w:rsidRDefault="000D7C84" w:rsidP="0083105F">
          <w:pPr>
            <w:ind w:left="900" w:hanging="900"/>
            <w:rPr>
              <w:sz w:val="24"/>
            </w:rPr>
          </w:pPr>
        </w:p>
      </w:tc>
      <w:tc>
        <w:tcPr>
          <w:tcW w:w="8364" w:type="dxa"/>
          <w:vMerge/>
        </w:tcPr>
        <w:p w:rsidR="000D7C84" w:rsidRDefault="000D7C84" w:rsidP="0083105F">
          <w:pPr>
            <w:ind w:left="900" w:hanging="900"/>
          </w:pPr>
        </w:p>
      </w:tc>
    </w:tr>
  </w:tbl>
  <w:p w:rsidR="0083105F" w:rsidRDefault="0083105F" w:rsidP="00115817">
    <w:pPr>
      <w:pStyle w:val="stbilgi"/>
    </w:pPr>
  </w:p>
  <w:p w:rsidR="00115817" w:rsidRPr="00BD17C1" w:rsidRDefault="00115817" w:rsidP="00BD17C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E1" w:rsidRDefault="00EC5BE1">
    <w:pPr>
      <w:pStyle w:val="stbilgi"/>
    </w:pPr>
  </w:p>
  <w:p w:rsidR="00900BDB" w:rsidRDefault="00900BDB">
    <w:pPr>
      <w:pStyle w:val="stbilgi"/>
    </w:pPr>
  </w:p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7"/>
      <w:gridCol w:w="5358"/>
      <w:gridCol w:w="2977"/>
    </w:tblGrid>
    <w:tr w:rsidR="006B3136" w:rsidTr="00265701">
      <w:trPr>
        <w:cantSplit/>
        <w:trHeight w:val="286"/>
      </w:trPr>
      <w:tc>
        <w:tcPr>
          <w:tcW w:w="1447" w:type="dxa"/>
          <w:vMerge w:val="restart"/>
          <w:tcBorders>
            <w:bottom w:val="single" w:sz="4" w:space="0" w:color="auto"/>
          </w:tcBorders>
          <w:vAlign w:val="center"/>
        </w:tcPr>
        <w:p w:rsidR="006B3136" w:rsidRPr="006564CB" w:rsidRDefault="006B3136" w:rsidP="006B3136">
          <w:pPr>
            <w:pStyle w:val="Balk6"/>
            <w:jc w:val="center"/>
            <w:rPr>
              <w:noProof/>
              <w:snapToGrid/>
              <w:lang w:val="tr-TR" w:eastAsia="tr-TR"/>
            </w:rPr>
          </w:pPr>
          <w:r w:rsidRPr="006564CB">
            <w:rPr>
              <w:noProof/>
              <w:snapToGrid/>
              <w:lang w:val="tr-TR" w:eastAsia="tr-TR"/>
            </w:rPr>
            <w:drawing>
              <wp:inline distT="0" distB="0" distL="0" distR="0">
                <wp:extent cx="768985" cy="768985"/>
                <wp:effectExtent l="0" t="0" r="0" b="0"/>
                <wp:docPr id="1" name="Picture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8" w:type="dxa"/>
          <w:vMerge w:val="restart"/>
          <w:tcBorders>
            <w:bottom w:val="single" w:sz="4" w:space="0" w:color="auto"/>
          </w:tcBorders>
          <w:vAlign w:val="center"/>
        </w:tcPr>
        <w:p w:rsidR="006B3136" w:rsidRDefault="006B3136" w:rsidP="006B3136">
          <w:pPr>
            <w:pStyle w:val="Balk6"/>
            <w:jc w:val="center"/>
          </w:pPr>
          <w:r w:rsidRPr="003C5800">
            <w:t>Pamukkale Üniversitesi</w:t>
          </w:r>
        </w:p>
        <w:p w:rsidR="006B3136" w:rsidRPr="006B3136" w:rsidRDefault="006B3136" w:rsidP="006B3136">
          <w:pPr>
            <w:jc w:val="center"/>
          </w:pPr>
          <w:r>
            <w:t>&lt;KYS Şartı belirtilir&gt;</w:t>
          </w:r>
        </w:p>
        <w:p w:rsidR="006B3136" w:rsidRPr="003C5800" w:rsidRDefault="006B3136" w:rsidP="006B3136">
          <w:pPr>
            <w:pStyle w:val="Balk6"/>
            <w:jc w:val="center"/>
            <w:rPr>
              <w:sz w:val="32"/>
            </w:rPr>
          </w:pPr>
          <w:r>
            <w:rPr>
              <w:sz w:val="32"/>
            </w:rPr>
            <w:t>Kalite Politikası Şablonu</w:t>
          </w:r>
        </w:p>
      </w:tc>
      <w:tc>
        <w:tcPr>
          <w:tcW w:w="2977" w:type="dxa"/>
          <w:tcBorders>
            <w:bottom w:val="single" w:sz="4" w:space="0" w:color="auto"/>
          </w:tcBorders>
        </w:tcPr>
        <w:p w:rsidR="006B3136" w:rsidRPr="006D4543" w:rsidRDefault="006B3136" w:rsidP="006B3136">
          <w:pPr>
            <w:rPr>
              <w:b/>
            </w:rPr>
          </w:pPr>
          <w:r w:rsidRPr="006D4543">
            <w:rPr>
              <w:b/>
            </w:rPr>
            <w:t>Doküman No</w:t>
          </w:r>
          <w:r>
            <w:rPr>
              <w:b/>
            </w:rPr>
            <w:t xml:space="preserve">: </w:t>
          </w:r>
        </w:p>
      </w:tc>
    </w:tr>
    <w:tr w:rsidR="006B3136" w:rsidTr="00265701">
      <w:trPr>
        <w:trHeight w:val="556"/>
      </w:trPr>
      <w:tc>
        <w:tcPr>
          <w:tcW w:w="1447" w:type="dxa"/>
          <w:vMerge/>
        </w:tcPr>
        <w:p w:rsidR="006B3136" w:rsidRDefault="006B3136" w:rsidP="006B3136">
          <w:pPr>
            <w:ind w:left="900" w:hanging="900"/>
            <w:rPr>
              <w:sz w:val="24"/>
            </w:rPr>
          </w:pPr>
        </w:p>
      </w:tc>
      <w:tc>
        <w:tcPr>
          <w:tcW w:w="5358" w:type="dxa"/>
          <w:vMerge/>
        </w:tcPr>
        <w:p w:rsidR="006B3136" w:rsidRDefault="006B3136" w:rsidP="006B3136">
          <w:pPr>
            <w:ind w:left="900" w:hanging="900"/>
          </w:pPr>
        </w:p>
      </w:tc>
      <w:tc>
        <w:tcPr>
          <w:tcW w:w="2977" w:type="dxa"/>
        </w:tcPr>
        <w:p w:rsidR="006B3136" w:rsidRDefault="006B3136" w:rsidP="006B3136">
          <w:pPr>
            <w:ind w:left="38"/>
          </w:pPr>
          <w:r>
            <w:rPr>
              <w:b/>
            </w:rPr>
            <w:t xml:space="preserve">Dokümanın Grubu: </w:t>
          </w:r>
          <w:r w:rsidRPr="00A60DEA">
            <w:t>Dokümanlar ve Kayıtlar</w:t>
          </w:r>
        </w:p>
        <w:p w:rsidR="00024322" w:rsidRDefault="00024322" w:rsidP="006B3136">
          <w:pPr>
            <w:ind w:left="38"/>
            <w:rPr>
              <w:b/>
              <w:sz w:val="24"/>
            </w:rPr>
          </w:pPr>
          <w:r w:rsidRPr="00066B57">
            <w:rPr>
              <w:sz w:val="18"/>
            </w:rPr>
            <w:t>&lt;Doküman adı belirtilir&gt;</w:t>
          </w:r>
        </w:p>
      </w:tc>
    </w:tr>
  </w:tbl>
  <w:p w:rsidR="006B3136" w:rsidRDefault="006B3136">
    <w:pPr>
      <w:pStyle w:val="stbilgi"/>
    </w:pPr>
  </w:p>
  <w:p w:rsidR="008516BC" w:rsidRDefault="008516B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58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7949AE"/>
    <w:multiLevelType w:val="multilevel"/>
    <w:tmpl w:val="D0C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1A3CF6"/>
    <w:multiLevelType w:val="hybridMultilevel"/>
    <w:tmpl w:val="C636B422"/>
    <w:lvl w:ilvl="0" w:tplc="36107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69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43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A7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8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84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4B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E9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04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4C5630"/>
    <w:multiLevelType w:val="hybridMultilevel"/>
    <w:tmpl w:val="92A417AE"/>
    <w:lvl w:ilvl="0" w:tplc="417A5D8E">
      <w:numFmt w:val="bullet"/>
      <w:lvlText w:val=""/>
      <w:lvlJc w:val="left"/>
      <w:pPr>
        <w:tabs>
          <w:tab w:val="num" w:pos="864"/>
        </w:tabs>
        <w:ind w:left="893" w:hanging="245"/>
      </w:pPr>
      <w:rPr>
        <w:rFonts w:ascii="Symbol" w:hAnsi="Symbol" w:hint="default"/>
      </w:rPr>
    </w:lvl>
    <w:lvl w:ilvl="1" w:tplc="81C84D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2BA7A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7EA9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2449F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F38CD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80F8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2BC39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1505BB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2D16C9B"/>
    <w:multiLevelType w:val="multilevel"/>
    <w:tmpl w:val="71A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F072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6914223"/>
    <w:multiLevelType w:val="multilevel"/>
    <w:tmpl w:val="E5F8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771F21"/>
    <w:multiLevelType w:val="hybridMultilevel"/>
    <w:tmpl w:val="C47A0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23227"/>
    <w:multiLevelType w:val="multilevel"/>
    <w:tmpl w:val="6E82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57774C"/>
    <w:multiLevelType w:val="multilevel"/>
    <w:tmpl w:val="06E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9D"/>
    <w:rsid w:val="00024322"/>
    <w:rsid w:val="00066B57"/>
    <w:rsid w:val="000C5385"/>
    <w:rsid w:val="000D3EB7"/>
    <w:rsid w:val="000D7C84"/>
    <w:rsid w:val="000E4012"/>
    <w:rsid w:val="000F6CB6"/>
    <w:rsid w:val="00115817"/>
    <w:rsid w:val="00124DA2"/>
    <w:rsid w:val="0016449F"/>
    <w:rsid w:val="002305D6"/>
    <w:rsid w:val="00241AC4"/>
    <w:rsid w:val="00283FB9"/>
    <w:rsid w:val="002B7AAF"/>
    <w:rsid w:val="002C7ED4"/>
    <w:rsid w:val="00332207"/>
    <w:rsid w:val="00337C9F"/>
    <w:rsid w:val="003464E5"/>
    <w:rsid w:val="003736F3"/>
    <w:rsid w:val="003D5AB1"/>
    <w:rsid w:val="00411EC2"/>
    <w:rsid w:val="00443662"/>
    <w:rsid w:val="00460455"/>
    <w:rsid w:val="004710FD"/>
    <w:rsid w:val="004A505D"/>
    <w:rsid w:val="00510182"/>
    <w:rsid w:val="00512E47"/>
    <w:rsid w:val="00514581"/>
    <w:rsid w:val="00555658"/>
    <w:rsid w:val="00561DF7"/>
    <w:rsid w:val="00593874"/>
    <w:rsid w:val="005E01A6"/>
    <w:rsid w:val="006206C1"/>
    <w:rsid w:val="00670DAF"/>
    <w:rsid w:val="006B3136"/>
    <w:rsid w:val="006E1461"/>
    <w:rsid w:val="007308B4"/>
    <w:rsid w:val="007F767A"/>
    <w:rsid w:val="0083105F"/>
    <w:rsid w:val="008516BC"/>
    <w:rsid w:val="008C7A80"/>
    <w:rsid w:val="00900BDB"/>
    <w:rsid w:val="009172B8"/>
    <w:rsid w:val="00924C4B"/>
    <w:rsid w:val="00A01546"/>
    <w:rsid w:val="00A060CD"/>
    <w:rsid w:val="00A2759D"/>
    <w:rsid w:val="00A60DEA"/>
    <w:rsid w:val="00A673F3"/>
    <w:rsid w:val="00A71EBB"/>
    <w:rsid w:val="00A92512"/>
    <w:rsid w:val="00AA5172"/>
    <w:rsid w:val="00B23A6C"/>
    <w:rsid w:val="00B92C1A"/>
    <w:rsid w:val="00BD17C1"/>
    <w:rsid w:val="00BD23A5"/>
    <w:rsid w:val="00BE7C12"/>
    <w:rsid w:val="00C05230"/>
    <w:rsid w:val="00C07361"/>
    <w:rsid w:val="00C434A3"/>
    <w:rsid w:val="00C80956"/>
    <w:rsid w:val="00C82042"/>
    <w:rsid w:val="00CB467E"/>
    <w:rsid w:val="00CC2A7C"/>
    <w:rsid w:val="00CD2713"/>
    <w:rsid w:val="00D058C8"/>
    <w:rsid w:val="00D24410"/>
    <w:rsid w:val="00DD0BFC"/>
    <w:rsid w:val="00DE1388"/>
    <w:rsid w:val="00DF69E7"/>
    <w:rsid w:val="00E3529D"/>
    <w:rsid w:val="00E7173E"/>
    <w:rsid w:val="00E8638F"/>
    <w:rsid w:val="00E87C0E"/>
    <w:rsid w:val="00EB12C3"/>
    <w:rsid w:val="00EC5BE1"/>
    <w:rsid w:val="00F0748A"/>
    <w:rsid w:val="00F27E96"/>
    <w:rsid w:val="00F434B7"/>
    <w:rsid w:val="00F734B9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snapToGrid w:val="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0E40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C7A80"/>
    <w:pPr>
      <w:ind w:left="720"/>
      <w:contextualSpacing/>
    </w:pPr>
  </w:style>
  <w:style w:type="character" w:customStyle="1" w:styleId="AltbilgiChar">
    <w:name w:val="Altbilgi Char"/>
    <w:basedOn w:val="VarsaylanParagrafYazTipi"/>
    <w:link w:val="Altbilgi"/>
    <w:uiPriority w:val="99"/>
    <w:rsid w:val="000D7C84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snapToGrid w:val="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0E40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C7A80"/>
    <w:pPr>
      <w:ind w:left="720"/>
      <w:contextualSpacing/>
    </w:pPr>
  </w:style>
  <w:style w:type="character" w:customStyle="1" w:styleId="AltbilgiChar">
    <w:name w:val="Altbilgi Char"/>
    <w:basedOn w:val="VarsaylanParagrafYazTipi"/>
    <w:link w:val="Altbilgi"/>
    <w:uiPriority w:val="99"/>
    <w:rsid w:val="000D7C8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F1BF-E609-40E8-AF04-0822619A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TML/MSH Department of Microbiology Laboratory Policy &amp; Procedure Manual</vt:lpstr>
      <vt:lpstr>TML/MSH Department of Microbiology Laboratory Policy &amp; Procedure Manual</vt:lpstr>
    </vt:vector>
  </TitlesOfParts>
  <Company>Pamukkale Üniversitesi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TML/MSH Department of Microbiology Laboratory Policy &amp; Procedure Manual</dc:title>
  <dc:creator>plo</dc:creator>
  <cp:lastModifiedBy>Pau</cp:lastModifiedBy>
  <cp:revision>2</cp:revision>
  <cp:lastPrinted>2014-10-08T13:24:00Z</cp:lastPrinted>
  <dcterms:created xsi:type="dcterms:W3CDTF">2018-12-07T13:43:00Z</dcterms:created>
  <dcterms:modified xsi:type="dcterms:W3CDTF">2018-12-07T13:43:00Z</dcterms:modified>
</cp:coreProperties>
</file>