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A010" w14:textId="77777777" w:rsidR="001644C7" w:rsidRPr="00A25CA1" w:rsidRDefault="001644C7" w:rsidP="00F671C6">
      <w:pPr>
        <w:spacing w:after="0" w:line="360" w:lineRule="auto"/>
        <w:ind w:left="4111"/>
        <w:jc w:val="both"/>
        <w:rPr>
          <w:b/>
          <w:sz w:val="21"/>
          <w:szCs w:val="21"/>
        </w:rPr>
      </w:pPr>
      <w:r w:rsidRPr="00A25CA1">
        <w:rPr>
          <w:b/>
          <w:sz w:val="21"/>
          <w:szCs w:val="21"/>
        </w:rPr>
        <w:t>GENEL ANESTEZİ İŞ AKIŞI_ÇOCUK HASTA</w:t>
      </w:r>
    </w:p>
    <w:p w14:paraId="26CF4774"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Hastanın intraoral muayenesi yapılır.</w:t>
      </w:r>
    </w:p>
    <w:p w14:paraId="78F4E51C"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Hastadan gerekli radyografik tetkikler istenir.</w:t>
      </w:r>
    </w:p>
    <w:p w14:paraId="6606574F"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“ÇOCUK DİŞ HEKİMLİĞİ GENEL ANESTEZİ HASTA KAYIT VE TEDAVİ FORMU” doldurularak, tedavi planlaması yapılır. Bu form bölümde muhafaza edilmelidir.</w:t>
      </w:r>
    </w:p>
    <w:p w14:paraId="1C506085"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“ÇOCUK DİŞ HEKİMLİĞİ GENEL ANESTEZİ ONAM FORMU” imzalatılarak hastanın yasal temsilcisinden onay alınır. Bu form bölümde muhafaza edilir.</w:t>
      </w:r>
    </w:p>
    <w:p w14:paraId="52939A98"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Cuma günü genel anestezi altında tedavileri yapılacak olan hastanın, bir önceki hafta (~10 gün önce) tetkik/tahlil işlemleri başlatılmalıdır.</w:t>
      </w:r>
    </w:p>
    <w:p w14:paraId="039E8F9D"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“GENEL ANESTEZİ İÇİN VAKA BİLDİRİM FORMU” 3 tane doldurularak hastayla beraber Pamukkale Üniversitesi Diş Hekimliği Fakültesi Dekanlığı’na yönlendirilir. Dekanlıktan kaşe/imzalı onay alınır.  Bu 3 formdan 1 tanesi Dekanlıkta kalacaktır. 1 tanesi hastanın genel anestezi sırası geldiğinde, hastayla beraber Pamukkale Üniversitesi Tıp Fakültesi Hastanesi’ne yönlendirilir. Diğer 1 tanesi ise hastanın genel anestezisinin yapılacağı gün Çocuk Cerrahisi Servisine teslim edilecektir.</w:t>
      </w:r>
    </w:p>
    <w:p w14:paraId="74F83E11" w14:textId="4874AB6E"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 xml:space="preserve">“TETKİK İŞLEMLER SEVK FORMU” 1 tane doldurularak hastadan INR ve Hemogram tetkikleri istenir. Pamukkale Üniversitesi Diş Hekimliği Fakültesi Dekanlığı’na yönlendirilir. Dekanlıktan kaşe/imzalı onay alınır.  Bu form hastanın genel anestezisinin yapılacağı gün </w:t>
      </w:r>
      <w:r w:rsidR="00772D24">
        <w:rPr>
          <w:sz w:val="21"/>
          <w:szCs w:val="21"/>
        </w:rPr>
        <w:t>‘Pamukkale Üniversitesi Tıp Fakültesi ‘’Resmi İşlemler’’e teslim edilecektir.</w:t>
      </w:r>
    </w:p>
    <w:p w14:paraId="72720FAE"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Hasta, Ağız Diş ve Çene Radyolojisi Sekreterliği’ne yönlendirilir, genel anestezi sırasına alınır.</w:t>
      </w:r>
    </w:p>
    <w:p w14:paraId="1CD069A5" w14:textId="573B5356"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 xml:space="preserve">Hastanın sırası geldiğinde Ağız Diş ve Çene Radyolojisi Sekreterliği tarafından telefonla aranarak, “GENEL ANESTEZİ İÇİN VAKA BİLDİRİM FORMU” ve “TETKİK İŞLEMLER SEVK FORMU” ile birlikte Pamukkale Üniversitesi Tıp Fakültesi Hastanesine gitmesi ve Kan Alma Biriminin yan tarafındaki “Resmi İşlemler” biriminde görevli Dilek hanıma giderek hastanın girişini açtırmaları söylenir. </w:t>
      </w:r>
    </w:p>
    <w:p w14:paraId="027193EB"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Hastanın yasal temsilcisi, hasta ile beraber “GENEL ANESTEZİ İÇİN VAKA BİLDİRİM FORMU” ve “TETKİK İŞLEMLER SEVK FORMU” ile birlikte Pamukkale Üniversitesi Tıp Fakültesi Hastanesi, Kan Alma Biriminin yan tarafındaki “Resmi İşlemler” biriminde görevli Dilek hanıma giderek hastanın girişini açtırır.</w:t>
      </w:r>
    </w:p>
    <w:p w14:paraId="5A4461F5"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Girişi açılan hastanın kan tahlilleri ve gerekli tetkikleri yapıldıktan sonra Pamukkale Üniversitesi Tıp Fakültesi Hastanesi Anestezi Polikliniği’ne muayene olmaya gider.</w:t>
      </w:r>
    </w:p>
    <w:p w14:paraId="0C6EC7B4"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Hasta, Anestezi Polikliniğinde muayene olduktan sonra anestezi bölümünden onay alır.</w:t>
      </w:r>
    </w:p>
    <w:p w14:paraId="10F00AC0" w14:textId="46B87578"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Anestezi Polikliniğinden onay alan hasta, anesteziden aldığı “Sonuçlandı’’ belgesini Pamukkale Üniversitesi Diş Hekimliği Fakültesi Çocuk Diş Hekimliği Kliniğindeki ilgili hekime getirip gösterir.</w:t>
      </w:r>
    </w:p>
    <w:p w14:paraId="63D930BA"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Cuma günü yatış yapacak hasta sayısı ve durumu (var/yok) Çocuk Cerrahisi Servis Hemşiresine bildirilmesi ve yatak ayarlanabilmesi için, Fakültemiz hemşireleri Songül veya Gülsün Hanıma mümkünse bir önceki hafta (~7-10 gün önce) sorumlu asistanlar tarafından bildirilir.</w:t>
      </w:r>
    </w:p>
    <w:p w14:paraId="1E2F4CA1" w14:textId="4D99B911"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Anestezi Polikliniğinden onay almış olan hastanın genel anestezi altında tedavilerinin gerçekleşeceği gün ve saat hekimi tarafından belirlenerek hasta bilgilendirilir.</w:t>
      </w:r>
    </w:p>
    <w:p w14:paraId="179B7609" w14:textId="7E4194C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 xml:space="preserve">Hastanın tedavisinden önceki 6 saat boyunca herhangi bir şey yememesi ve içmemesi konusunda yasal temsilcisi bilgilendirilir, </w:t>
      </w:r>
      <w:r w:rsidRPr="00BF57FA">
        <w:rPr>
          <w:b/>
          <w:bCs/>
          <w:sz w:val="21"/>
          <w:szCs w:val="21"/>
        </w:rPr>
        <w:t>tedavi günü</w:t>
      </w:r>
      <w:r w:rsidRPr="00A25CA1">
        <w:rPr>
          <w:sz w:val="21"/>
          <w:szCs w:val="21"/>
        </w:rPr>
        <w:t xml:space="preserve"> </w:t>
      </w:r>
      <w:r w:rsidR="00BF57FA" w:rsidRPr="00BF57FA">
        <w:rPr>
          <w:b/>
          <w:bCs/>
          <w:sz w:val="21"/>
          <w:szCs w:val="21"/>
        </w:rPr>
        <w:t>‘’</w:t>
      </w:r>
      <w:r w:rsidRPr="00BF57FA">
        <w:rPr>
          <w:b/>
          <w:bCs/>
          <w:sz w:val="21"/>
          <w:szCs w:val="21"/>
        </w:rPr>
        <w:t>anesteziden aldığı sonuçlandı onay belgesi</w:t>
      </w:r>
      <w:r w:rsidR="00BF57FA" w:rsidRPr="00BF57FA">
        <w:rPr>
          <w:b/>
          <w:bCs/>
          <w:sz w:val="21"/>
          <w:szCs w:val="21"/>
        </w:rPr>
        <w:t xml:space="preserve">’’ ile “GENEL ANESTEZİ İÇİN VAKA BİLDİRİM FORMU”nu </w:t>
      </w:r>
      <w:r w:rsidRPr="00BF57FA">
        <w:rPr>
          <w:b/>
          <w:bCs/>
          <w:sz w:val="21"/>
          <w:szCs w:val="21"/>
        </w:rPr>
        <w:t>mutlaka yanlarında getirmeleri söylenir.</w:t>
      </w:r>
      <w:r w:rsidRPr="00A25CA1">
        <w:rPr>
          <w:sz w:val="21"/>
          <w:szCs w:val="21"/>
        </w:rPr>
        <w:t xml:space="preserve"> Ayrıca, hastanın tedavisinin yapılacağı gün el ve ayak tırnaklarında oje bulunmaması ve takı, saat vb. aksesuarlar takmaması konusunda bilgi verilir.</w:t>
      </w:r>
    </w:p>
    <w:p w14:paraId="420BFDED"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O haftaki genel anestezi hastaları ile ilgilenen Çocuk Diş Hekimliğindeki sorumlu asistan, hastaların tedavilerinin yapılacağı günün öncesinde hastanın yasal temsilcisini arayarak saat kaçtan itibaren aç olmaları gerektiğini hatırlatır, randevularına gelme durumlarını teyit eder, randevusuna gelmeyen hastaların genel anestezi hasta listesinde tekrar sıraya gireceği konusunda hasta velilerine bilgi verir.</w:t>
      </w:r>
    </w:p>
    <w:p w14:paraId="611951F3"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Hasta, genel anestezinin yapılacağı gün “GENEL ANESTEZİ İÇİN VAKA BİLDİRİM FORMU” ve “TETKİK İŞLEMLER SEVK FORMU” ile birlikte Pamukkale Üniversitesi Tıp Fakültesi Hastanesi 2.kat Çocuk Cerrahisi Yataklı Servisine gelerek B koridorundaki sekreterlikten girişini açtırır.</w:t>
      </w:r>
    </w:p>
    <w:p w14:paraId="2369C3DA" w14:textId="77777777"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Çocuk Cerrahisi Servisine girişi yapılan hasta hazır olunca Çocuk Diş Hekimliği sorumlu asistanları tarafından ameliyathane sekreterliğine (0258 296 61 64) haber verilerek 20 numaralı ameliyathaneye yönlendirilir.</w:t>
      </w:r>
    </w:p>
    <w:p w14:paraId="2B8B3D3E" w14:textId="78DFBA83" w:rsidR="001644C7" w:rsidRPr="00A25CA1" w:rsidRDefault="001644C7" w:rsidP="00BF57FA">
      <w:pPr>
        <w:pStyle w:val="ListeParagraf"/>
        <w:numPr>
          <w:ilvl w:val="0"/>
          <w:numId w:val="2"/>
        </w:numPr>
        <w:spacing w:after="0"/>
        <w:ind w:left="709" w:hanging="349"/>
        <w:jc w:val="both"/>
        <w:rPr>
          <w:sz w:val="21"/>
          <w:szCs w:val="21"/>
        </w:rPr>
      </w:pPr>
      <w:r w:rsidRPr="00A25CA1">
        <w:rPr>
          <w:sz w:val="21"/>
          <w:szCs w:val="21"/>
        </w:rPr>
        <w:t>Ameliyathanede genel anestezi altında tedavileri tamamlandıktan sonra “GENEL ANESTEZİ HASTA KAYIT VE TEDAVİ FORMU”na uygulanan tedaviler kayıt edil</w:t>
      </w:r>
      <w:r w:rsidR="00BF57FA">
        <w:rPr>
          <w:sz w:val="21"/>
          <w:szCs w:val="21"/>
        </w:rPr>
        <w:t>ir</w:t>
      </w:r>
      <w:r w:rsidRPr="00A25CA1">
        <w:rPr>
          <w:sz w:val="21"/>
          <w:szCs w:val="21"/>
        </w:rPr>
        <w:t>.</w:t>
      </w:r>
    </w:p>
    <w:p w14:paraId="17B92C19" w14:textId="0D4F9066" w:rsidR="001644C7" w:rsidRDefault="001644C7" w:rsidP="00BF57FA">
      <w:pPr>
        <w:pStyle w:val="ListeParagraf"/>
        <w:numPr>
          <w:ilvl w:val="0"/>
          <w:numId w:val="2"/>
        </w:numPr>
        <w:ind w:left="709" w:hanging="349"/>
        <w:jc w:val="both"/>
        <w:rPr>
          <w:sz w:val="21"/>
          <w:szCs w:val="21"/>
        </w:rPr>
      </w:pPr>
      <w:r w:rsidRPr="00A25CA1">
        <w:rPr>
          <w:sz w:val="21"/>
          <w:szCs w:val="21"/>
        </w:rPr>
        <w:t>Ameliyathanede genel anestezi altında tedavileri tamamlandıktan sonra post-op alanında bir süre bekletildikten sonra Tıp Fakültesi Hastanesi personelleri tarafından yeniden servise çıkarılır.</w:t>
      </w:r>
    </w:p>
    <w:p w14:paraId="4063536D" w14:textId="4B152A85" w:rsidR="00F10A2D" w:rsidRDefault="00F10A2D" w:rsidP="00BF57FA">
      <w:pPr>
        <w:pStyle w:val="ListeParagraf"/>
        <w:numPr>
          <w:ilvl w:val="0"/>
          <w:numId w:val="2"/>
        </w:numPr>
        <w:ind w:left="709" w:hanging="349"/>
        <w:jc w:val="both"/>
        <w:rPr>
          <w:sz w:val="21"/>
          <w:szCs w:val="21"/>
        </w:rPr>
      </w:pPr>
      <w:r>
        <w:rPr>
          <w:sz w:val="21"/>
          <w:szCs w:val="21"/>
        </w:rPr>
        <w:t>Odada gerekli gözlem süresi tamamlanana kadar, ilgili asistan hekim servisten ayrılmamalıdır. Hastanın olağan/olağandışı durumu asistan hekim tarafından sorumlu öğretim üyesine bildirilir.</w:t>
      </w:r>
    </w:p>
    <w:p w14:paraId="2EFF5C51" w14:textId="73A4D8EB" w:rsidR="00F10A2D" w:rsidRPr="00A25CA1" w:rsidRDefault="00F10A2D" w:rsidP="00BF57FA">
      <w:pPr>
        <w:pStyle w:val="ListeParagraf"/>
        <w:numPr>
          <w:ilvl w:val="0"/>
          <w:numId w:val="2"/>
        </w:numPr>
        <w:ind w:left="709" w:hanging="349"/>
        <w:jc w:val="both"/>
        <w:rPr>
          <w:sz w:val="21"/>
          <w:szCs w:val="21"/>
        </w:rPr>
      </w:pPr>
      <w:r>
        <w:rPr>
          <w:sz w:val="21"/>
          <w:szCs w:val="21"/>
        </w:rPr>
        <w:t>Gözlem süresi tamamlanan hasta, ilgili öğretim üyesinin onayıyla taburcu edilir.</w:t>
      </w:r>
    </w:p>
    <w:p w14:paraId="35DD73E1" w14:textId="60F53CE3" w:rsidR="001644C7" w:rsidRPr="00A25CA1" w:rsidRDefault="001644C7" w:rsidP="00BF57FA">
      <w:pPr>
        <w:pStyle w:val="ListeParagraf"/>
        <w:numPr>
          <w:ilvl w:val="0"/>
          <w:numId w:val="2"/>
        </w:numPr>
        <w:ind w:left="709" w:hanging="349"/>
        <w:jc w:val="both"/>
        <w:rPr>
          <w:sz w:val="21"/>
          <w:szCs w:val="21"/>
        </w:rPr>
      </w:pPr>
      <w:r w:rsidRPr="00A25CA1">
        <w:rPr>
          <w:sz w:val="21"/>
          <w:szCs w:val="21"/>
        </w:rPr>
        <w:t>Hastanın yapılan işlemleri Trte</w:t>
      </w:r>
      <w:r w:rsidR="007C72E5">
        <w:rPr>
          <w:sz w:val="21"/>
          <w:szCs w:val="21"/>
        </w:rPr>
        <w:t>k</w:t>
      </w:r>
      <w:r w:rsidRPr="00A25CA1">
        <w:rPr>
          <w:sz w:val="21"/>
          <w:szCs w:val="21"/>
        </w:rPr>
        <w:t xml:space="preserve"> ve Probel sistemlerine girilir.</w:t>
      </w:r>
    </w:p>
    <w:p w14:paraId="0BB34C71" w14:textId="77777777" w:rsidR="001644C7" w:rsidRPr="00A25CA1" w:rsidRDefault="001644C7" w:rsidP="00BF57FA">
      <w:pPr>
        <w:pStyle w:val="ListeParagraf"/>
        <w:spacing w:after="0"/>
        <w:ind w:left="709"/>
        <w:jc w:val="both"/>
        <w:rPr>
          <w:sz w:val="21"/>
          <w:szCs w:val="21"/>
        </w:rPr>
      </w:pPr>
    </w:p>
    <w:sectPr w:rsidR="001644C7" w:rsidRPr="00A25CA1" w:rsidSect="00A25CA1">
      <w:pgSz w:w="11906" w:h="16838"/>
      <w:pgMar w:top="426" w:right="720" w:bottom="72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47BB"/>
    <w:multiLevelType w:val="hybridMultilevel"/>
    <w:tmpl w:val="FA5407DA"/>
    <w:lvl w:ilvl="0" w:tplc="9D96F7F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790648"/>
    <w:multiLevelType w:val="hybridMultilevel"/>
    <w:tmpl w:val="0C7EB432"/>
    <w:lvl w:ilvl="0" w:tplc="CDFE11C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0C04C3"/>
    <w:multiLevelType w:val="hybridMultilevel"/>
    <w:tmpl w:val="CC487A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1E"/>
    <w:rsid w:val="001644C7"/>
    <w:rsid w:val="004F0A17"/>
    <w:rsid w:val="0063021E"/>
    <w:rsid w:val="00772D24"/>
    <w:rsid w:val="007C72E5"/>
    <w:rsid w:val="009E1E0B"/>
    <w:rsid w:val="00A25CA1"/>
    <w:rsid w:val="00BF57FA"/>
    <w:rsid w:val="00F10A2D"/>
    <w:rsid w:val="00F671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5ACB"/>
  <w15:chartTrackingRefBased/>
  <w15:docId w15:val="{D50AA79A-AE2E-48FA-B5CE-320AAAB2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4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750</Words>
  <Characters>4276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HILAL OZBEY</cp:lastModifiedBy>
  <cp:revision>8</cp:revision>
  <dcterms:created xsi:type="dcterms:W3CDTF">2023-06-02T12:28:00Z</dcterms:created>
  <dcterms:modified xsi:type="dcterms:W3CDTF">2023-06-05T12:59:00Z</dcterms:modified>
</cp:coreProperties>
</file>