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ED" w:rsidRPr="006F4BC6" w:rsidRDefault="006F4BC6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47CED" w:rsidRPr="006F4BC6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="001D7610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4BC6" w:rsidRPr="006F4BC6" w:rsidRDefault="005A74C9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 xml:space="preserve">Fakültemizde bulunan </w:t>
      </w:r>
      <w:r w:rsidR="00027ACF" w:rsidRPr="006F4BC6">
        <w:rPr>
          <w:rFonts w:ascii="Times New Roman" w:hAnsi="Times New Roman" w:cs="Times New Roman"/>
          <w:sz w:val="24"/>
          <w:szCs w:val="24"/>
        </w:rPr>
        <w:t>alanlar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1D7610" w:rsidRPr="006F4BC6">
        <w:rPr>
          <w:rFonts w:ascii="Times New Roman" w:hAnsi="Times New Roman" w:cs="Times New Roman"/>
          <w:sz w:val="24"/>
          <w:szCs w:val="24"/>
        </w:rPr>
        <w:t>kardiopulmoner</w:t>
      </w:r>
      <w:proofErr w:type="spellEnd"/>
      <w:r w:rsidR="001D7610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10" w:rsidRPr="006F4BC6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="002C1AA2" w:rsidRPr="006F4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1AA2" w:rsidRPr="006F4BC6">
        <w:rPr>
          <w:rFonts w:ascii="Times New Roman" w:hAnsi="Times New Roman" w:cs="Times New Roman"/>
          <w:sz w:val="24"/>
          <w:szCs w:val="24"/>
        </w:rPr>
        <w:t>senkop</w:t>
      </w:r>
      <w:proofErr w:type="spellEnd"/>
      <w:r w:rsidR="001D7610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="002C1AA2" w:rsidRPr="006F4BC6">
        <w:rPr>
          <w:rFonts w:ascii="Times New Roman" w:hAnsi="Times New Roman" w:cs="Times New Roman"/>
          <w:sz w:val="24"/>
          <w:szCs w:val="24"/>
        </w:rPr>
        <w:t>benzeri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 acil durumlarda</w:t>
      </w:r>
      <w:r w:rsidR="002C1AA2" w:rsidRPr="006F4BC6">
        <w:rPr>
          <w:rFonts w:ascii="Times New Roman" w:hAnsi="Times New Roman" w:cs="Times New Roman"/>
          <w:sz w:val="24"/>
          <w:szCs w:val="24"/>
        </w:rPr>
        <w:t>, eğitimli ve deneyimli bir ekibin,</w:t>
      </w:r>
      <w:r w:rsidR="00027ACF" w:rsidRPr="006F4BC6">
        <w:rPr>
          <w:rFonts w:ascii="Times New Roman" w:hAnsi="Times New Roman" w:cs="Times New Roman"/>
          <w:sz w:val="24"/>
          <w:szCs w:val="24"/>
        </w:rPr>
        <w:t xml:space="preserve"> hastanın </w:t>
      </w:r>
      <w:r w:rsidR="002C1AA2" w:rsidRPr="006F4BC6">
        <w:rPr>
          <w:rFonts w:ascii="Times New Roman" w:hAnsi="Times New Roman" w:cs="Times New Roman"/>
          <w:sz w:val="24"/>
          <w:szCs w:val="24"/>
        </w:rPr>
        <w:t>bulunduğu alana hızlı ve güvenli biçimde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 olay yerine ulaş</w:t>
      </w:r>
      <w:r w:rsidR="002C1AA2" w:rsidRPr="006F4BC6">
        <w:rPr>
          <w:rFonts w:ascii="Times New Roman" w:hAnsi="Times New Roman" w:cs="Times New Roman"/>
          <w:sz w:val="24"/>
          <w:szCs w:val="24"/>
        </w:rPr>
        <w:t>masını</w:t>
      </w:r>
      <w:r w:rsidR="00027ACF" w:rsidRPr="006F4BC6">
        <w:rPr>
          <w:rFonts w:ascii="Times New Roman" w:hAnsi="Times New Roman" w:cs="Times New Roman"/>
          <w:sz w:val="24"/>
          <w:szCs w:val="24"/>
        </w:rPr>
        <w:t xml:space="preserve"> ve müdahale edilmesini sağlamak için standart bir yöntem belirlemektir.</w:t>
      </w:r>
    </w:p>
    <w:p w:rsidR="00747CED" w:rsidRPr="006F4BC6" w:rsidRDefault="006F4BC6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D7610" w:rsidRPr="006F4BC6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Ma</w:t>
      </w:r>
      <w:r w:rsidR="00027ACF" w:rsidRPr="006F4BC6">
        <w:rPr>
          <w:rFonts w:ascii="Times New Roman" w:hAnsi="Times New Roman" w:cs="Times New Roman"/>
          <w:sz w:val="24"/>
          <w:szCs w:val="24"/>
        </w:rPr>
        <w:t xml:space="preserve">vi Kod Sorumlu Ekibi 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7CED" w:rsidRPr="006F4BC6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BC6">
        <w:rPr>
          <w:rFonts w:ascii="Times New Roman" w:hAnsi="Times New Roman" w:cs="Times New Roman"/>
          <w:b/>
          <w:bCs/>
          <w:sz w:val="24"/>
          <w:szCs w:val="24"/>
        </w:rPr>
        <w:t>Kardiopulmoner</w:t>
      </w:r>
      <w:proofErr w:type="spellEnd"/>
      <w:r w:rsidR="002247FC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BC6">
        <w:rPr>
          <w:rFonts w:ascii="Times New Roman" w:hAnsi="Times New Roman" w:cs="Times New Roman"/>
          <w:b/>
          <w:bCs/>
          <w:sz w:val="24"/>
          <w:szCs w:val="24"/>
        </w:rPr>
        <w:t>arrest</w:t>
      </w:r>
      <w:proofErr w:type="spellEnd"/>
      <w:r w:rsidR="00352D7D" w:rsidRPr="006F4BC6">
        <w:rPr>
          <w:rFonts w:ascii="Times New Roman" w:hAnsi="Times New Roman" w:cs="Times New Roman"/>
          <w:sz w:val="24"/>
          <w:szCs w:val="24"/>
        </w:rPr>
        <w:t>: Dolaşım ve solunumun ani olarak</w:t>
      </w:r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Pr="006F4BC6">
        <w:rPr>
          <w:rFonts w:ascii="Times New Roman" w:hAnsi="Times New Roman" w:cs="Times New Roman"/>
          <w:sz w:val="24"/>
          <w:szCs w:val="24"/>
        </w:rPr>
        <w:t>durmasıdır</w:t>
      </w:r>
      <w:r w:rsidR="00352D7D" w:rsidRPr="006F4BC6">
        <w:rPr>
          <w:rFonts w:ascii="Times New Roman" w:hAnsi="Times New Roman" w:cs="Times New Roman"/>
          <w:sz w:val="24"/>
          <w:szCs w:val="24"/>
        </w:rPr>
        <w:t>.</w:t>
      </w:r>
      <w:r w:rsidR="00567258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="00352D7D" w:rsidRPr="006F4BC6">
        <w:rPr>
          <w:rFonts w:ascii="Times New Roman" w:hAnsi="Times New Roman" w:cs="Times New Roman"/>
          <w:sz w:val="24"/>
          <w:szCs w:val="24"/>
        </w:rPr>
        <w:t>B</w:t>
      </w:r>
      <w:r w:rsidRPr="006F4BC6">
        <w:rPr>
          <w:rFonts w:ascii="Times New Roman" w:hAnsi="Times New Roman" w:cs="Times New Roman"/>
          <w:sz w:val="24"/>
          <w:szCs w:val="24"/>
        </w:rPr>
        <w:t xml:space="preserve">u durum potansiyel olarak geri döndürülebilir. Solunum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arrestinde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 nabız devam ederken, kardiyak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arrestte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 nabız yoktur. Kardiyak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arrestin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 üç önemli mekanizması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asistoli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ventriküler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fibrilasyon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, nabızsız elektriksel aktivite olarak sayılabilir.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Kardiopulmoner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D34" w:rsidRPr="006F4BC6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belirtileri; </w:t>
      </w:r>
      <w:r w:rsidRPr="006F4BC6">
        <w:rPr>
          <w:rFonts w:ascii="Times New Roman" w:hAnsi="Times New Roman" w:cs="Times New Roman"/>
          <w:sz w:val="24"/>
          <w:szCs w:val="24"/>
        </w:rPr>
        <w:t>bilinç kaybı, solunum</w:t>
      </w:r>
      <w:r w:rsidR="002247FC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Pr="006F4BC6">
        <w:rPr>
          <w:rFonts w:ascii="Times New Roman" w:hAnsi="Times New Roman" w:cs="Times New Roman"/>
          <w:sz w:val="24"/>
          <w:szCs w:val="24"/>
        </w:rPr>
        <w:t>durması</w:t>
      </w:r>
      <w:r w:rsidR="00352D7D" w:rsidRPr="006F4BC6">
        <w:rPr>
          <w:rFonts w:ascii="Times New Roman" w:hAnsi="Times New Roman" w:cs="Times New Roman"/>
          <w:sz w:val="24"/>
          <w:szCs w:val="24"/>
        </w:rPr>
        <w:t xml:space="preserve">, nabız alınamaması, </w:t>
      </w:r>
      <w:proofErr w:type="spellStart"/>
      <w:r w:rsidR="00352D7D" w:rsidRPr="006F4BC6">
        <w:rPr>
          <w:rFonts w:ascii="Times New Roman" w:hAnsi="Times New Roman" w:cs="Times New Roman"/>
          <w:sz w:val="24"/>
          <w:szCs w:val="24"/>
        </w:rPr>
        <w:t>siyanoz</w:t>
      </w:r>
      <w:proofErr w:type="spellEnd"/>
      <w:r w:rsidR="00352D7D" w:rsidRPr="006F4BC6">
        <w:rPr>
          <w:rFonts w:ascii="Times New Roman" w:hAnsi="Times New Roman" w:cs="Times New Roman"/>
          <w:sz w:val="24"/>
          <w:szCs w:val="24"/>
        </w:rPr>
        <w:t>, solukluk ve</w:t>
      </w:r>
      <w:r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pupilla</w:t>
      </w:r>
      <w:proofErr w:type="spellEnd"/>
      <w:r w:rsidR="002247FC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dilatasyonudur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>.</w:t>
      </w:r>
    </w:p>
    <w:p w:rsidR="002C1AA2" w:rsidRPr="006F4BC6" w:rsidRDefault="002C1AA2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BC6">
        <w:rPr>
          <w:rFonts w:ascii="Times New Roman" w:hAnsi="Times New Roman" w:cs="Times New Roman"/>
          <w:b/>
          <w:bCs/>
          <w:sz w:val="24"/>
          <w:szCs w:val="24"/>
        </w:rPr>
        <w:t>Senkop</w:t>
      </w:r>
      <w:proofErr w:type="spellEnd"/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F4BC6">
        <w:rPr>
          <w:rFonts w:ascii="Times New Roman" w:hAnsi="Times New Roman" w:cs="Times New Roman"/>
          <w:bCs/>
          <w:sz w:val="24"/>
          <w:szCs w:val="24"/>
        </w:rPr>
        <w:t xml:space="preserve">Kalbe bağlı veya kalp dışı nedenlerden oluşan geçici olarak şuur ve </w:t>
      </w:r>
      <w:proofErr w:type="spellStart"/>
      <w:r w:rsidRPr="006F4BC6">
        <w:rPr>
          <w:rFonts w:ascii="Times New Roman" w:hAnsi="Times New Roman" w:cs="Times New Roman"/>
          <w:bCs/>
          <w:sz w:val="24"/>
          <w:szCs w:val="24"/>
        </w:rPr>
        <w:t>postür</w:t>
      </w:r>
      <w:proofErr w:type="spellEnd"/>
      <w:r w:rsidRPr="006F4BC6">
        <w:rPr>
          <w:rFonts w:ascii="Times New Roman" w:hAnsi="Times New Roman" w:cs="Times New Roman"/>
          <w:bCs/>
          <w:sz w:val="24"/>
          <w:szCs w:val="24"/>
        </w:rPr>
        <w:t xml:space="preserve"> kaybıdır.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CPR (</w:t>
      </w:r>
      <w:proofErr w:type="spellStart"/>
      <w:r w:rsidRPr="006F4BC6">
        <w:rPr>
          <w:rFonts w:ascii="Times New Roman" w:hAnsi="Times New Roman" w:cs="Times New Roman"/>
          <w:b/>
          <w:bCs/>
          <w:sz w:val="24"/>
          <w:szCs w:val="24"/>
        </w:rPr>
        <w:t>Kardiopulmoner</w:t>
      </w:r>
      <w:proofErr w:type="spellEnd"/>
      <w:r w:rsidR="002247FC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47FC" w:rsidRPr="006F4BC6">
        <w:rPr>
          <w:rFonts w:ascii="Times New Roman" w:hAnsi="Times New Roman" w:cs="Times New Roman"/>
          <w:b/>
          <w:bCs/>
          <w:sz w:val="24"/>
          <w:szCs w:val="24"/>
        </w:rPr>
        <w:t>resu</w:t>
      </w:r>
      <w:r w:rsidRPr="006F4BC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247FC" w:rsidRPr="006F4BC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F4BC6">
        <w:rPr>
          <w:rFonts w:ascii="Times New Roman" w:hAnsi="Times New Roman" w:cs="Times New Roman"/>
          <w:b/>
          <w:bCs/>
          <w:sz w:val="24"/>
          <w:szCs w:val="24"/>
        </w:rPr>
        <w:t>tasyon</w:t>
      </w:r>
      <w:proofErr w:type="spellEnd"/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6F4BC6">
        <w:rPr>
          <w:rFonts w:ascii="Times New Roman" w:hAnsi="Times New Roman" w:cs="Times New Roman"/>
          <w:sz w:val="24"/>
          <w:szCs w:val="24"/>
        </w:rPr>
        <w:t>Yaşamı kesintiye uğramış bir kişide, kalbin normal olarak çalışmaya başlamasına kadar yaşamsal organ fonksiyon</w:t>
      </w:r>
      <w:r w:rsidR="003D608A" w:rsidRPr="006F4BC6">
        <w:rPr>
          <w:rFonts w:ascii="Times New Roman" w:hAnsi="Times New Roman" w:cs="Times New Roman"/>
          <w:sz w:val="24"/>
          <w:szCs w:val="24"/>
        </w:rPr>
        <w:t xml:space="preserve">larının sürdürülmesini sağlayan </w:t>
      </w:r>
      <w:r w:rsidRPr="006F4BC6">
        <w:rPr>
          <w:rFonts w:ascii="Times New Roman" w:hAnsi="Times New Roman" w:cs="Times New Roman"/>
          <w:sz w:val="24"/>
          <w:szCs w:val="24"/>
        </w:rPr>
        <w:t>tedavi yaklaşımlarıdır.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Temel Yaşam Desteği (TYD)</w:t>
      </w:r>
      <w:r w:rsidRPr="006F4BC6">
        <w:rPr>
          <w:rFonts w:ascii="Times New Roman" w:hAnsi="Times New Roman" w:cs="Times New Roman"/>
          <w:sz w:val="24"/>
          <w:szCs w:val="24"/>
        </w:rPr>
        <w:t>: Basit havayolu araçları dışında araç-gereç kullanılmaksızın havayolu açıklığının devam ettirilmesi, solunum ve dolaşımın desteklenmesidir.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İleri Yaşam Desteği (İYD)</w:t>
      </w:r>
      <w:r w:rsidRPr="006F4BC6">
        <w:rPr>
          <w:rFonts w:ascii="Times New Roman" w:hAnsi="Times New Roman" w:cs="Times New Roman"/>
          <w:sz w:val="24"/>
          <w:szCs w:val="24"/>
        </w:rPr>
        <w:t xml:space="preserve">: Temel yaşam desteğinin sağlanmasından sonra acil olarak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kardiyovasküler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 xml:space="preserve"> durumun belirlenmesi</w:t>
      </w:r>
      <w:r w:rsidR="00567258" w:rsidRPr="006F4BC6">
        <w:rPr>
          <w:rFonts w:ascii="Times New Roman" w:hAnsi="Times New Roman" w:cs="Times New Roman"/>
          <w:sz w:val="24"/>
          <w:szCs w:val="24"/>
        </w:rPr>
        <w:t>ni</w:t>
      </w:r>
      <w:r w:rsidRPr="006F4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endotrakeal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C6">
        <w:rPr>
          <w:rFonts w:ascii="Times New Roman" w:hAnsi="Times New Roman" w:cs="Times New Roman"/>
          <w:sz w:val="24"/>
          <w:szCs w:val="24"/>
        </w:rPr>
        <w:t>entübasyon</w:t>
      </w:r>
      <w:r w:rsidR="00567258" w:rsidRPr="006F4BC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F4BC6">
        <w:rPr>
          <w:rFonts w:ascii="Times New Roman" w:hAnsi="Times New Roman" w:cs="Times New Roman"/>
          <w:sz w:val="24"/>
          <w:szCs w:val="24"/>
        </w:rPr>
        <w:t>, aritmilerin tanınması ve ilaç tedavilerini kapsar.</w:t>
      </w:r>
    </w:p>
    <w:p w:rsidR="008A3D34" w:rsidRPr="006F4BC6" w:rsidRDefault="002C1AA2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BC6">
        <w:rPr>
          <w:rFonts w:ascii="Times New Roman" w:hAnsi="Times New Roman" w:cs="Times New Roman"/>
          <w:b/>
          <w:sz w:val="24"/>
          <w:szCs w:val="24"/>
        </w:rPr>
        <w:t>Defibr</w:t>
      </w:r>
      <w:r w:rsidR="008A3D34" w:rsidRPr="006F4BC6">
        <w:rPr>
          <w:rFonts w:ascii="Times New Roman" w:hAnsi="Times New Roman" w:cs="Times New Roman"/>
          <w:b/>
          <w:sz w:val="24"/>
          <w:szCs w:val="24"/>
        </w:rPr>
        <w:t>ilasyon</w:t>
      </w:r>
      <w:proofErr w:type="spellEnd"/>
      <w:r w:rsidR="008A3D34" w:rsidRPr="006F4BC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A3D34" w:rsidRPr="006F4BC6">
        <w:rPr>
          <w:rFonts w:ascii="Times New Roman" w:hAnsi="Times New Roman" w:cs="Times New Roman"/>
          <w:sz w:val="24"/>
          <w:szCs w:val="24"/>
        </w:rPr>
        <w:t>Ventriküler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D34" w:rsidRPr="006F4BC6">
        <w:rPr>
          <w:rFonts w:ascii="Times New Roman" w:hAnsi="Times New Roman" w:cs="Times New Roman"/>
          <w:sz w:val="24"/>
          <w:szCs w:val="24"/>
        </w:rPr>
        <w:t>fibrilasyon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ya</w:t>
      </w:r>
      <w:r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="008A3D34" w:rsidRPr="006F4BC6">
        <w:rPr>
          <w:rFonts w:ascii="Times New Roman" w:hAnsi="Times New Roman" w:cs="Times New Roman"/>
          <w:sz w:val="24"/>
          <w:szCs w:val="24"/>
        </w:rPr>
        <w:t xml:space="preserve">da nabızsız </w:t>
      </w:r>
      <w:proofErr w:type="spellStart"/>
      <w:r w:rsidR="008A3D34" w:rsidRPr="006F4BC6">
        <w:rPr>
          <w:rFonts w:ascii="Times New Roman" w:hAnsi="Times New Roman" w:cs="Times New Roman"/>
          <w:sz w:val="24"/>
          <w:szCs w:val="24"/>
        </w:rPr>
        <w:t>ventriküler</w:t>
      </w:r>
      <w:proofErr w:type="spellEnd"/>
      <w:r w:rsidR="008A3D34" w:rsidRPr="006F4BC6">
        <w:rPr>
          <w:rFonts w:ascii="Times New Roman" w:hAnsi="Times New Roman" w:cs="Times New Roman"/>
          <w:sz w:val="24"/>
          <w:szCs w:val="24"/>
        </w:rPr>
        <w:t xml:space="preserve"> taşikardide kalbe elektrik akımı verilerek çalışmasının sağlanmasıdır.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Mavi Kod</w:t>
      </w:r>
      <w:r w:rsidRPr="006F4BC6">
        <w:rPr>
          <w:rFonts w:ascii="Times New Roman" w:hAnsi="Times New Roman" w:cs="Times New Roman"/>
          <w:sz w:val="24"/>
          <w:szCs w:val="24"/>
        </w:rPr>
        <w:t>: Acil durumlarda mavi kod müdahale ekibine hızla haber verilmesini sağlayan ekibin olay yerine en kısa zamanda ulaşmasına yardımcı olan erken uyarı ve yönlendi</w:t>
      </w:r>
      <w:r w:rsidR="008A3D34" w:rsidRPr="006F4BC6">
        <w:rPr>
          <w:rFonts w:ascii="Times New Roman" w:hAnsi="Times New Roman" w:cs="Times New Roman"/>
          <w:sz w:val="24"/>
          <w:szCs w:val="24"/>
        </w:rPr>
        <w:t xml:space="preserve">rme sistemidir. </w:t>
      </w:r>
    </w:p>
    <w:p w:rsidR="001D7610" w:rsidRPr="006F4BC6" w:rsidRDefault="001D7610" w:rsidP="006F4BC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Mavi Kod İhbar Numarası: </w:t>
      </w:r>
      <w:r w:rsidRPr="006F4BC6">
        <w:rPr>
          <w:rFonts w:ascii="Times New Roman" w:hAnsi="Times New Roman" w:cs="Times New Roman"/>
          <w:sz w:val="24"/>
          <w:szCs w:val="24"/>
        </w:rPr>
        <w:t xml:space="preserve">Mavi kod sisteminde </w:t>
      </w:r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2222 </w:t>
      </w:r>
      <w:r w:rsidRPr="006F4BC6">
        <w:rPr>
          <w:rFonts w:ascii="Times New Roman" w:hAnsi="Times New Roman" w:cs="Times New Roman"/>
          <w:sz w:val="24"/>
          <w:szCs w:val="24"/>
        </w:rPr>
        <w:t>ol</w:t>
      </w:r>
      <w:r w:rsidR="00567258" w:rsidRPr="006F4BC6">
        <w:rPr>
          <w:rFonts w:ascii="Times New Roman" w:hAnsi="Times New Roman" w:cs="Times New Roman"/>
          <w:sz w:val="24"/>
          <w:szCs w:val="24"/>
        </w:rPr>
        <w:t>arak önceden tanımlanmış olan da</w:t>
      </w:r>
      <w:r w:rsidRPr="006F4BC6">
        <w:rPr>
          <w:rFonts w:ascii="Times New Roman" w:hAnsi="Times New Roman" w:cs="Times New Roman"/>
          <w:sz w:val="24"/>
          <w:szCs w:val="24"/>
        </w:rPr>
        <w:t>hili telefon numarasıdır.</w:t>
      </w:r>
    </w:p>
    <w:p w:rsidR="001D7610" w:rsidRPr="006F4BC6" w:rsidRDefault="001D7610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67258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CED" w:rsidRPr="006F4BC6">
        <w:rPr>
          <w:rFonts w:ascii="Times New Roman" w:hAnsi="Times New Roman" w:cs="Times New Roman"/>
          <w:b/>
          <w:bCs/>
          <w:sz w:val="24"/>
          <w:szCs w:val="24"/>
        </w:rPr>
        <w:t>UYGULAMA</w:t>
      </w:r>
    </w:p>
    <w:p w:rsidR="008A3D34" w:rsidRPr="006F4BC6" w:rsidRDefault="00567258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CA5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610" w:rsidRPr="006F4BC6">
        <w:rPr>
          <w:rFonts w:ascii="Times New Roman" w:hAnsi="Times New Roman" w:cs="Times New Roman"/>
          <w:sz w:val="24"/>
          <w:szCs w:val="24"/>
        </w:rPr>
        <w:t>Mavi Kod durumu oluştuğunda, dur</w:t>
      </w:r>
      <w:r w:rsidR="0017773F" w:rsidRPr="006F4BC6">
        <w:rPr>
          <w:rFonts w:ascii="Times New Roman" w:hAnsi="Times New Roman" w:cs="Times New Roman"/>
          <w:sz w:val="24"/>
          <w:szCs w:val="24"/>
        </w:rPr>
        <w:t>umu tespit eden kurum personeli</w:t>
      </w:r>
      <w:r w:rsidR="008D1FBB" w:rsidRPr="006F4BC6">
        <w:rPr>
          <w:rFonts w:ascii="Times New Roman" w:hAnsi="Times New Roman" w:cs="Times New Roman"/>
          <w:sz w:val="24"/>
          <w:szCs w:val="24"/>
        </w:rPr>
        <w:t>;</w:t>
      </w:r>
    </w:p>
    <w:p w:rsidR="008D1FBB" w:rsidRPr="006F4BC6" w:rsidRDefault="008D1FBB" w:rsidP="002C0E96">
      <w:pPr>
        <w:pStyle w:val="ListeParagraf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Mavi kodu ba</w:t>
      </w:r>
      <w:r w:rsidR="008D3DB5" w:rsidRPr="006F4BC6">
        <w:rPr>
          <w:rFonts w:ascii="Times New Roman" w:hAnsi="Times New Roman" w:cs="Times New Roman"/>
          <w:sz w:val="24"/>
          <w:szCs w:val="24"/>
        </w:rPr>
        <w:t>şlatmak için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 en yakın dahili telefondan </w:t>
      </w:r>
      <w:r w:rsidR="001D7610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2222 </w:t>
      </w:r>
      <w:r w:rsidRPr="006F4BC6">
        <w:rPr>
          <w:rFonts w:ascii="Times New Roman" w:hAnsi="Times New Roman" w:cs="Times New Roman"/>
          <w:sz w:val="24"/>
          <w:szCs w:val="24"/>
        </w:rPr>
        <w:t>nolu telefonu tuşlar.</w:t>
      </w:r>
    </w:p>
    <w:p w:rsidR="008D1FBB" w:rsidRPr="006F4BC6" w:rsidRDefault="00917C31" w:rsidP="002C0E96">
      <w:pPr>
        <w:pStyle w:val="ListeParagraf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K</w:t>
      </w:r>
      <w:r w:rsidR="001D7610" w:rsidRPr="006F4BC6">
        <w:rPr>
          <w:rFonts w:ascii="Times New Roman" w:hAnsi="Times New Roman" w:cs="Times New Roman"/>
          <w:sz w:val="24"/>
          <w:szCs w:val="24"/>
        </w:rPr>
        <w:t>endisini tanıtır,</w:t>
      </w:r>
      <w:r w:rsidR="008A3D34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="001D7610" w:rsidRPr="006F4BC6">
        <w:rPr>
          <w:rFonts w:ascii="Times New Roman" w:hAnsi="Times New Roman" w:cs="Times New Roman"/>
          <w:sz w:val="24"/>
          <w:szCs w:val="24"/>
        </w:rPr>
        <w:t>hastanın bulunduğu bölgeyi kat numarasını,</w:t>
      </w:r>
      <w:r w:rsidR="002247FC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="001D7610" w:rsidRPr="006F4BC6">
        <w:rPr>
          <w:rFonts w:ascii="Times New Roman" w:hAnsi="Times New Roman" w:cs="Times New Roman"/>
          <w:sz w:val="24"/>
          <w:szCs w:val="24"/>
        </w:rPr>
        <w:t>açık ve anlaşılır şekilde tanımlar</w:t>
      </w:r>
      <w:r w:rsidR="002247FC" w:rsidRPr="006F4BC6">
        <w:rPr>
          <w:rFonts w:ascii="Times New Roman" w:hAnsi="Times New Roman" w:cs="Times New Roman"/>
          <w:sz w:val="24"/>
          <w:szCs w:val="24"/>
        </w:rPr>
        <w:t>.</w:t>
      </w:r>
    </w:p>
    <w:p w:rsidR="008D1FBB" w:rsidRPr="006F4BC6" w:rsidRDefault="008D1FBB" w:rsidP="002C0E96">
      <w:pPr>
        <w:pStyle w:val="ListeParagraf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Operatörün mavi kod başlatıldı anonsunu duyunca telefonu kapatır.</w:t>
      </w:r>
    </w:p>
    <w:p w:rsidR="00567258" w:rsidRPr="006F4BC6" w:rsidRDefault="00567258" w:rsidP="002C0E96">
      <w:pPr>
        <w:pStyle w:val="ListeParagraf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Santral 3 kez anons ederek mavi kod olayını başlatır.</w:t>
      </w:r>
    </w:p>
    <w:p w:rsidR="00D33D73" w:rsidRPr="006F4BC6" w:rsidRDefault="00567258" w:rsidP="002C0E96">
      <w:pPr>
        <w:pStyle w:val="ListeParagraf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Mavi kod ekibinin 3 dakika içerisinde olay yerine gelmesi beklenir.</w:t>
      </w:r>
    </w:p>
    <w:p w:rsidR="008D1FBB" w:rsidRPr="006F4BC6" w:rsidRDefault="00567258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CA5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7610" w:rsidRPr="006F4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Mavi Kod </w:t>
      </w:r>
      <w:r w:rsidR="008D1FBB" w:rsidRPr="006F4BC6">
        <w:rPr>
          <w:rFonts w:ascii="Times New Roman" w:hAnsi="Times New Roman" w:cs="Times New Roman"/>
          <w:sz w:val="24"/>
          <w:szCs w:val="24"/>
        </w:rPr>
        <w:t>müdahale ekibi;</w:t>
      </w:r>
      <w:r w:rsidR="001D7610" w:rsidRPr="006F4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6F" w:rsidRDefault="008D1FBB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 xml:space="preserve">Mavi Kod durumunda 3 dakika içerisinde yönlendirme mesajındaki </w:t>
      </w:r>
      <w:r w:rsidR="00567258" w:rsidRPr="006F4BC6">
        <w:rPr>
          <w:rFonts w:ascii="Times New Roman" w:hAnsi="Times New Roman" w:cs="Times New Roman"/>
          <w:sz w:val="24"/>
          <w:szCs w:val="24"/>
        </w:rPr>
        <w:t xml:space="preserve">olay yerine </w:t>
      </w:r>
      <w:r w:rsidR="00CA5B6F">
        <w:rPr>
          <w:rFonts w:ascii="Times New Roman" w:hAnsi="Times New Roman" w:cs="Times New Roman"/>
          <w:sz w:val="24"/>
          <w:szCs w:val="24"/>
        </w:rPr>
        <w:t>ulaşır.</w:t>
      </w:r>
    </w:p>
    <w:p w:rsidR="000E71DB" w:rsidRPr="006F4BC6" w:rsidRDefault="00CA5B6F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Mavi Kod acil çantasının getirilmesi</w:t>
      </w:r>
      <w:r w:rsidR="00DC1C39">
        <w:rPr>
          <w:rFonts w:ascii="Times New Roman" w:hAnsi="Times New Roman" w:cs="Times New Roman"/>
          <w:sz w:val="24"/>
          <w:szCs w:val="24"/>
        </w:rPr>
        <w:t xml:space="preserve"> mavi kod ekibi sorumlu </w:t>
      </w:r>
      <w:r>
        <w:rPr>
          <w:rFonts w:ascii="Times New Roman" w:hAnsi="Times New Roman" w:cs="Times New Roman"/>
          <w:sz w:val="24"/>
          <w:szCs w:val="24"/>
        </w:rPr>
        <w:t>hemşire</w:t>
      </w:r>
      <w:r w:rsidR="00DC1C39">
        <w:rPr>
          <w:rFonts w:ascii="Times New Roman" w:hAnsi="Times New Roman" w:cs="Times New Roman"/>
          <w:sz w:val="24"/>
          <w:szCs w:val="24"/>
        </w:rPr>
        <w:t xml:space="preserve">sinin </w:t>
      </w:r>
      <w:r>
        <w:rPr>
          <w:rFonts w:ascii="Times New Roman" w:hAnsi="Times New Roman" w:cs="Times New Roman"/>
          <w:sz w:val="24"/>
          <w:szCs w:val="24"/>
        </w:rPr>
        <w:t>sorumluluğundadır.</w:t>
      </w:r>
    </w:p>
    <w:p w:rsidR="000E71DB" w:rsidRPr="006F4BC6" w:rsidRDefault="00CA5B6F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Hastaya ulaşıldığında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 CPR eğitimini almış M</w:t>
      </w:r>
      <w:r w:rsidR="00567258" w:rsidRPr="006F4BC6">
        <w:rPr>
          <w:rFonts w:ascii="Times New Roman" w:hAnsi="Times New Roman" w:cs="Times New Roman"/>
          <w:sz w:val="24"/>
          <w:szCs w:val="24"/>
        </w:rPr>
        <w:t xml:space="preserve">avi Kod Müdahale ekibi </w:t>
      </w:r>
      <w:r w:rsidR="008D3DB5" w:rsidRPr="006F4BC6">
        <w:rPr>
          <w:rFonts w:ascii="Times New Roman" w:hAnsi="Times New Roman" w:cs="Times New Roman"/>
          <w:sz w:val="24"/>
          <w:szCs w:val="24"/>
        </w:rPr>
        <w:t xml:space="preserve">olayı </w:t>
      </w:r>
      <w:r w:rsidR="008D1FBB" w:rsidRPr="006F4BC6">
        <w:rPr>
          <w:rFonts w:ascii="Times New Roman" w:hAnsi="Times New Roman" w:cs="Times New Roman"/>
          <w:sz w:val="24"/>
          <w:szCs w:val="24"/>
        </w:rPr>
        <w:t>devralı</w:t>
      </w:r>
      <w:r w:rsidR="00567258" w:rsidRPr="006F4BC6">
        <w:rPr>
          <w:rFonts w:ascii="Times New Roman" w:hAnsi="Times New Roman" w:cs="Times New Roman"/>
          <w:sz w:val="24"/>
          <w:szCs w:val="24"/>
        </w:rPr>
        <w:t>r ve Mavi K</w:t>
      </w:r>
      <w:r w:rsidR="008D1FBB" w:rsidRPr="006F4BC6">
        <w:rPr>
          <w:rFonts w:ascii="Times New Roman" w:hAnsi="Times New Roman" w:cs="Times New Roman"/>
          <w:sz w:val="24"/>
          <w:szCs w:val="24"/>
        </w:rPr>
        <w:t>od anonsunun kapatılması için</w:t>
      </w:r>
      <w:r w:rsidR="001E20F9" w:rsidRPr="006F4BC6">
        <w:rPr>
          <w:rFonts w:ascii="Times New Roman" w:hAnsi="Times New Roman" w:cs="Times New Roman"/>
          <w:sz w:val="24"/>
          <w:szCs w:val="24"/>
        </w:rPr>
        <w:t xml:space="preserve"> ih</w:t>
      </w:r>
      <w:r w:rsidR="00567258" w:rsidRPr="006F4BC6">
        <w:rPr>
          <w:rFonts w:ascii="Times New Roman" w:hAnsi="Times New Roman" w:cs="Times New Roman"/>
          <w:sz w:val="24"/>
          <w:szCs w:val="24"/>
        </w:rPr>
        <w:t>barı yapan personeli uyarır ve Mavi K</w:t>
      </w:r>
      <w:r w:rsidR="001E20F9" w:rsidRPr="006F4BC6">
        <w:rPr>
          <w:rFonts w:ascii="Times New Roman" w:hAnsi="Times New Roman" w:cs="Times New Roman"/>
          <w:sz w:val="24"/>
          <w:szCs w:val="24"/>
        </w:rPr>
        <w:t>od sonlandırılır.</w:t>
      </w:r>
    </w:p>
    <w:p w:rsidR="000E71DB" w:rsidRPr="006F4BC6" w:rsidRDefault="00DC1C39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Mavi kod ekip üyesi ya</w:t>
      </w:r>
      <w:r w:rsidR="002C0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 sağlık çalışanlarından 112</w:t>
      </w:r>
      <w:r w:rsidR="00C02629" w:rsidRPr="006F4BC6">
        <w:rPr>
          <w:rFonts w:ascii="Times New Roman" w:hAnsi="Times New Roman" w:cs="Times New Roman"/>
          <w:sz w:val="24"/>
          <w:szCs w:val="24"/>
        </w:rPr>
        <w:t>’</w:t>
      </w:r>
      <w:r w:rsidR="008D1FBB" w:rsidRPr="006F4BC6"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</w:rPr>
        <w:t xml:space="preserve"> (hastane için 5511) arayarak ambulans istemini yapması sağlanır. (5511 numarası kurum telefonundan sağlanır.) </w:t>
      </w:r>
    </w:p>
    <w:p w:rsidR="000E71DB" w:rsidRPr="006F4BC6" w:rsidRDefault="00DC1C39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Mavi kod ekibi h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astanın </w:t>
      </w:r>
      <w:r w:rsidR="000E71DB" w:rsidRPr="006F4BC6">
        <w:rPr>
          <w:rFonts w:ascii="Times New Roman" w:hAnsi="Times New Roman" w:cs="Times New Roman"/>
          <w:sz w:val="24"/>
          <w:szCs w:val="24"/>
        </w:rPr>
        <w:t>durumu</w:t>
      </w:r>
      <w:r w:rsidR="008D3DB5" w:rsidRPr="006F4BC6">
        <w:rPr>
          <w:rFonts w:ascii="Times New Roman" w:hAnsi="Times New Roman" w:cs="Times New Roman"/>
          <w:sz w:val="24"/>
          <w:szCs w:val="24"/>
        </w:rPr>
        <w:t xml:space="preserve"> hakkında bilgi alır. Temel yaşam ve</w:t>
      </w:r>
      <w:r>
        <w:rPr>
          <w:rFonts w:ascii="Times New Roman" w:hAnsi="Times New Roman" w:cs="Times New Roman"/>
          <w:sz w:val="24"/>
          <w:szCs w:val="24"/>
        </w:rPr>
        <w:t>/veya</w:t>
      </w:r>
      <w:r w:rsidR="008D3DB5" w:rsidRPr="006F4BC6">
        <w:rPr>
          <w:rFonts w:ascii="Times New Roman" w:hAnsi="Times New Roman" w:cs="Times New Roman"/>
          <w:sz w:val="24"/>
          <w:szCs w:val="24"/>
        </w:rPr>
        <w:t xml:space="preserve"> ileri yaşam desteği 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girişimlerini yönetir. </w:t>
      </w:r>
    </w:p>
    <w:p w:rsidR="000E71DB" w:rsidRPr="006F4BC6" w:rsidRDefault="008D1FBB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 xml:space="preserve">112 ekibi </w:t>
      </w:r>
      <w:r w:rsidR="001E20F9" w:rsidRPr="006F4BC6">
        <w:rPr>
          <w:rFonts w:ascii="Times New Roman" w:hAnsi="Times New Roman" w:cs="Times New Roman"/>
          <w:sz w:val="24"/>
          <w:szCs w:val="24"/>
        </w:rPr>
        <w:t>gelene kadar bu işlem devam eder</w:t>
      </w:r>
      <w:r w:rsidRPr="006F4BC6">
        <w:rPr>
          <w:rFonts w:ascii="Times New Roman" w:hAnsi="Times New Roman" w:cs="Times New Roman"/>
          <w:sz w:val="24"/>
          <w:szCs w:val="24"/>
        </w:rPr>
        <w:t>,</w:t>
      </w:r>
      <w:r w:rsidR="001E20F9" w:rsidRPr="006F4BC6">
        <w:rPr>
          <w:rFonts w:ascii="Times New Roman" w:hAnsi="Times New Roman" w:cs="Times New Roman"/>
          <w:sz w:val="24"/>
          <w:szCs w:val="24"/>
        </w:rPr>
        <w:t xml:space="preserve"> </w:t>
      </w:r>
      <w:r w:rsidRPr="006F4BC6">
        <w:rPr>
          <w:rFonts w:ascii="Times New Roman" w:hAnsi="Times New Roman" w:cs="Times New Roman"/>
          <w:sz w:val="24"/>
          <w:szCs w:val="24"/>
        </w:rPr>
        <w:t>112 ek</w:t>
      </w:r>
      <w:r w:rsidR="00C02629" w:rsidRPr="006F4BC6">
        <w:rPr>
          <w:rFonts w:ascii="Times New Roman" w:hAnsi="Times New Roman" w:cs="Times New Roman"/>
          <w:sz w:val="24"/>
          <w:szCs w:val="24"/>
        </w:rPr>
        <w:t>ibine hasta hakkında bilgi ver</w:t>
      </w:r>
      <w:r w:rsidRPr="006F4BC6">
        <w:rPr>
          <w:rFonts w:ascii="Times New Roman" w:hAnsi="Times New Roman" w:cs="Times New Roman"/>
          <w:sz w:val="24"/>
          <w:szCs w:val="24"/>
        </w:rPr>
        <w:t>ir ve bu şekilde sevki</w:t>
      </w:r>
      <w:r w:rsidR="00C02629" w:rsidRPr="006F4BC6">
        <w:rPr>
          <w:rFonts w:ascii="Times New Roman" w:hAnsi="Times New Roman" w:cs="Times New Roman"/>
          <w:sz w:val="24"/>
          <w:szCs w:val="24"/>
        </w:rPr>
        <w:t>ni sağla</w:t>
      </w:r>
      <w:r w:rsidRPr="006F4BC6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E2689" w:rsidRPr="006F4BC6" w:rsidRDefault="00C02629" w:rsidP="002C0E96">
      <w:pPr>
        <w:pStyle w:val="ListeParagraf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D1FBB" w:rsidRPr="006F4BC6">
        <w:rPr>
          <w:rFonts w:ascii="Times New Roman" w:hAnsi="Times New Roman" w:cs="Times New Roman"/>
          <w:sz w:val="24"/>
          <w:szCs w:val="24"/>
        </w:rPr>
        <w:t>urumu</w:t>
      </w:r>
      <w:r w:rsidRPr="006F4BC6">
        <w:rPr>
          <w:rFonts w:ascii="Times New Roman" w:hAnsi="Times New Roman" w:cs="Times New Roman"/>
          <w:sz w:val="24"/>
          <w:szCs w:val="24"/>
        </w:rPr>
        <w:t>,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 bilgileri ve </w:t>
      </w:r>
      <w:proofErr w:type="spellStart"/>
      <w:r w:rsidR="008D1FBB" w:rsidRPr="006F4BC6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="008D1FBB" w:rsidRPr="006F4BC6">
        <w:rPr>
          <w:rFonts w:ascii="Times New Roman" w:hAnsi="Times New Roman" w:cs="Times New Roman"/>
          <w:sz w:val="24"/>
          <w:szCs w:val="24"/>
        </w:rPr>
        <w:t xml:space="preserve"> sonrası g</w:t>
      </w:r>
      <w:r w:rsidRPr="006F4BC6">
        <w:rPr>
          <w:rFonts w:ascii="Times New Roman" w:hAnsi="Times New Roman" w:cs="Times New Roman"/>
          <w:sz w:val="24"/>
          <w:szCs w:val="24"/>
        </w:rPr>
        <w:t>elişmeler, Mavi Kod Olay Bildirim Fo</w:t>
      </w:r>
      <w:r w:rsidR="008D1FBB" w:rsidRPr="006F4BC6">
        <w:rPr>
          <w:rFonts w:ascii="Times New Roman" w:hAnsi="Times New Roman" w:cs="Times New Roman"/>
          <w:sz w:val="24"/>
          <w:szCs w:val="24"/>
        </w:rPr>
        <w:t xml:space="preserve">rmu </w:t>
      </w:r>
      <w:r w:rsidRPr="006F4BC6">
        <w:rPr>
          <w:rFonts w:ascii="Times New Roman" w:hAnsi="Times New Roman" w:cs="Times New Roman"/>
          <w:sz w:val="24"/>
          <w:szCs w:val="24"/>
        </w:rPr>
        <w:t xml:space="preserve">aracılığıyla </w:t>
      </w:r>
      <w:r w:rsidR="008D1FBB" w:rsidRPr="006F4BC6">
        <w:rPr>
          <w:rFonts w:ascii="Times New Roman" w:hAnsi="Times New Roman" w:cs="Times New Roman"/>
          <w:sz w:val="24"/>
          <w:szCs w:val="24"/>
        </w:rPr>
        <w:t>ekip lideri tarafından doldurularak</w:t>
      </w:r>
      <w:r w:rsidRPr="006F4BC6">
        <w:rPr>
          <w:rFonts w:ascii="Times New Roman" w:hAnsi="Times New Roman" w:cs="Times New Roman"/>
          <w:sz w:val="24"/>
          <w:szCs w:val="24"/>
        </w:rPr>
        <w:t xml:space="preserve"> kayıt altına alınır ve Kalite Yönetim B</w:t>
      </w:r>
      <w:r w:rsidR="008D1FBB" w:rsidRPr="006F4BC6">
        <w:rPr>
          <w:rFonts w:ascii="Times New Roman" w:hAnsi="Times New Roman" w:cs="Times New Roman"/>
          <w:sz w:val="24"/>
          <w:szCs w:val="24"/>
        </w:rPr>
        <w:t>irimine teslim edilir.</w:t>
      </w:r>
    </w:p>
    <w:p w:rsidR="000E71DB" w:rsidRPr="006F4BC6" w:rsidRDefault="00C02629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sz w:val="24"/>
          <w:szCs w:val="24"/>
        </w:rPr>
        <w:t>4.3</w:t>
      </w:r>
      <w:r w:rsidR="000E71DB" w:rsidRPr="006F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FED" w:rsidRPr="006F4BC6">
        <w:rPr>
          <w:rFonts w:ascii="Times New Roman" w:hAnsi="Times New Roman" w:cs="Times New Roman"/>
          <w:sz w:val="24"/>
          <w:szCs w:val="24"/>
        </w:rPr>
        <w:t>Acil müdahale ekipmanlarının (i</w:t>
      </w:r>
      <w:r w:rsidR="000E71DB" w:rsidRPr="006F4BC6">
        <w:rPr>
          <w:rFonts w:ascii="Times New Roman" w:hAnsi="Times New Roman" w:cs="Times New Roman"/>
          <w:sz w:val="24"/>
          <w:szCs w:val="24"/>
        </w:rPr>
        <w:t xml:space="preserve">laç/sarflar) </w:t>
      </w:r>
      <w:r w:rsidR="00276DAE" w:rsidRPr="006F4BC6">
        <w:rPr>
          <w:rFonts w:ascii="Times New Roman" w:hAnsi="Times New Roman" w:cs="Times New Roman"/>
          <w:sz w:val="24"/>
          <w:szCs w:val="24"/>
        </w:rPr>
        <w:t xml:space="preserve">son kullanma tarihleri, kritik stok seviyeleri ve </w:t>
      </w:r>
      <w:r w:rsidR="000E71DB" w:rsidRPr="006F4BC6">
        <w:rPr>
          <w:rFonts w:ascii="Times New Roman" w:hAnsi="Times New Roman" w:cs="Times New Roman"/>
          <w:sz w:val="24"/>
          <w:szCs w:val="24"/>
        </w:rPr>
        <w:t xml:space="preserve">acil çantası </w:t>
      </w:r>
      <w:r w:rsidR="00276DAE" w:rsidRPr="006F4BC6">
        <w:rPr>
          <w:rFonts w:ascii="Times New Roman" w:hAnsi="Times New Roman" w:cs="Times New Roman"/>
          <w:sz w:val="24"/>
          <w:szCs w:val="24"/>
        </w:rPr>
        <w:t xml:space="preserve">içeriği </w:t>
      </w:r>
      <w:r w:rsidR="000E71DB" w:rsidRPr="006F4BC6">
        <w:rPr>
          <w:rFonts w:ascii="Times New Roman" w:hAnsi="Times New Roman" w:cs="Times New Roman"/>
          <w:sz w:val="24"/>
          <w:szCs w:val="24"/>
        </w:rPr>
        <w:t>sorumlu hemşiresi tarafından kontrol edilir ve kaydedilir.</w:t>
      </w:r>
    </w:p>
    <w:p w:rsidR="000E71DB" w:rsidRPr="006F4BC6" w:rsidRDefault="00C02629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sz w:val="24"/>
          <w:szCs w:val="24"/>
        </w:rPr>
        <w:t>4.4</w:t>
      </w:r>
      <w:r w:rsidR="000E71DB" w:rsidRPr="006F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C39">
        <w:rPr>
          <w:rFonts w:ascii="Times New Roman" w:hAnsi="Times New Roman" w:cs="Times New Roman"/>
          <w:sz w:val="24"/>
          <w:szCs w:val="24"/>
        </w:rPr>
        <w:t>112 ekibinin</w:t>
      </w:r>
      <w:r w:rsidR="000E71DB" w:rsidRPr="006F4BC6">
        <w:rPr>
          <w:rFonts w:ascii="Times New Roman" w:hAnsi="Times New Roman" w:cs="Times New Roman"/>
          <w:sz w:val="24"/>
          <w:szCs w:val="24"/>
        </w:rPr>
        <w:t xml:space="preserve"> hızlı bir şekilde </w:t>
      </w:r>
      <w:r w:rsidR="00DC1C39">
        <w:rPr>
          <w:rFonts w:ascii="Times New Roman" w:hAnsi="Times New Roman" w:cs="Times New Roman"/>
          <w:sz w:val="24"/>
          <w:szCs w:val="24"/>
        </w:rPr>
        <w:t xml:space="preserve">olay yerine </w:t>
      </w:r>
      <w:r w:rsidR="000E71DB" w:rsidRPr="006F4BC6">
        <w:rPr>
          <w:rFonts w:ascii="Times New Roman" w:hAnsi="Times New Roman" w:cs="Times New Roman"/>
          <w:sz w:val="24"/>
          <w:szCs w:val="24"/>
        </w:rPr>
        <w:t>ulaştırılması ve meraklı kalabalığın dağıtılması mavi kod ekibinde görevli güvenlik görevlisinin sorumluluğundadır.</w:t>
      </w:r>
    </w:p>
    <w:p w:rsidR="0017773F" w:rsidRDefault="00C02629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b/>
          <w:sz w:val="24"/>
          <w:szCs w:val="24"/>
        </w:rPr>
        <w:t>4.5</w:t>
      </w:r>
      <w:r w:rsidR="00333F80" w:rsidRPr="006F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BC6">
        <w:rPr>
          <w:rFonts w:ascii="Times New Roman" w:hAnsi="Times New Roman" w:cs="Times New Roman"/>
          <w:sz w:val="24"/>
          <w:szCs w:val="24"/>
        </w:rPr>
        <w:t>Yılda 1</w:t>
      </w:r>
      <w:r w:rsidR="00333F80" w:rsidRPr="006F4BC6">
        <w:rPr>
          <w:rFonts w:ascii="Times New Roman" w:hAnsi="Times New Roman" w:cs="Times New Roman"/>
          <w:sz w:val="24"/>
          <w:szCs w:val="24"/>
        </w:rPr>
        <w:t xml:space="preserve"> kez mavi kod ekibinin performa</w:t>
      </w:r>
      <w:r w:rsidRPr="006F4BC6">
        <w:rPr>
          <w:rFonts w:ascii="Times New Roman" w:hAnsi="Times New Roman" w:cs="Times New Roman"/>
          <w:sz w:val="24"/>
          <w:szCs w:val="24"/>
        </w:rPr>
        <w:t>n</w:t>
      </w:r>
      <w:r w:rsidR="00333F80" w:rsidRPr="006F4BC6">
        <w:rPr>
          <w:rFonts w:ascii="Times New Roman" w:hAnsi="Times New Roman" w:cs="Times New Roman"/>
          <w:sz w:val="24"/>
          <w:szCs w:val="24"/>
        </w:rPr>
        <w:t>sının değerlendiri</w:t>
      </w:r>
      <w:r w:rsidR="001E20F9" w:rsidRPr="006F4BC6">
        <w:rPr>
          <w:rFonts w:ascii="Times New Roman" w:hAnsi="Times New Roman" w:cs="Times New Roman"/>
          <w:sz w:val="24"/>
          <w:szCs w:val="24"/>
        </w:rPr>
        <w:t>lme</w:t>
      </w:r>
      <w:r w:rsidR="00DC1C39">
        <w:rPr>
          <w:rFonts w:ascii="Times New Roman" w:hAnsi="Times New Roman" w:cs="Times New Roman"/>
          <w:sz w:val="24"/>
          <w:szCs w:val="24"/>
        </w:rPr>
        <w:t xml:space="preserve">si amacıyla tatbikat yapılır. Tatbikat öncesi tatbikat senaryosu oluşturulur ve video ile kayıt altına alınır. Sonrası için tatbikat raporu hazırlanır. </w:t>
      </w:r>
    </w:p>
    <w:p w:rsidR="00DC1C39" w:rsidRPr="00DC1C39" w:rsidRDefault="00DC1C39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4.6. </w:t>
      </w:r>
      <w:r w:rsidRPr="00DC1C39">
        <w:rPr>
          <w:rFonts w:ascii="Times New Roman" w:hAnsi="Times New Roman" w:cs="Times New Roman"/>
          <w:sz w:val="24"/>
          <w:szCs w:val="24"/>
        </w:rPr>
        <w:t>Tatbikatlar ve gerçek müdahaleler sırasında belirlenen uygunsuzluklara yönelik gerekli iyileştirmeler yapılır.</w:t>
      </w:r>
    </w:p>
    <w:p w:rsidR="000E71DB" w:rsidRPr="006F4BC6" w:rsidRDefault="0017773F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BC6">
        <w:rPr>
          <w:rFonts w:ascii="Times New Roman" w:hAnsi="Times New Roman" w:cs="Times New Roman"/>
          <w:b/>
          <w:sz w:val="24"/>
          <w:szCs w:val="24"/>
        </w:rPr>
        <w:t>5.</w:t>
      </w:r>
      <w:r w:rsidR="00C02629" w:rsidRPr="006F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BC6">
        <w:rPr>
          <w:rFonts w:ascii="Times New Roman" w:hAnsi="Times New Roman" w:cs="Times New Roman"/>
          <w:b/>
          <w:sz w:val="24"/>
          <w:szCs w:val="24"/>
        </w:rPr>
        <w:t>İLGİLİ DOKÜMANLAR</w:t>
      </w:r>
      <w:r w:rsidR="00333F80" w:rsidRPr="006F4B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7773F" w:rsidRPr="006F4BC6" w:rsidRDefault="007D7B30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 xml:space="preserve">Acil Çantası İlaç/Malzeme Listesi Kontrol </w:t>
      </w:r>
      <w:r w:rsidR="0017773F" w:rsidRPr="006F4BC6">
        <w:rPr>
          <w:rFonts w:ascii="Times New Roman" w:hAnsi="Times New Roman" w:cs="Times New Roman"/>
          <w:sz w:val="24"/>
          <w:szCs w:val="24"/>
        </w:rPr>
        <w:t>Formu</w:t>
      </w:r>
    </w:p>
    <w:p w:rsidR="0017773F" w:rsidRPr="006F4BC6" w:rsidRDefault="0017773F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 xml:space="preserve">Mavi Kod </w:t>
      </w:r>
      <w:r w:rsidR="007D7B30" w:rsidRPr="006F4BC6">
        <w:rPr>
          <w:rFonts w:ascii="Times New Roman" w:hAnsi="Times New Roman" w:cs="Times New Roman"/>
          <w:sz w:val="24"/>
          <w:szCs w:val="24"/>
        </w:rPr>
        <w:t xml:space="preserve">Olay </w:t>
      </w:r>
      <w:r w:rsidRPr="006F4BC6">
        <w:rPr>
          <w:rFonts w:ascii="Times New Roman" w:hAnsi="Times New Roman" w:cs="Times New Roman"/>
          <w:sz w:val="24"/>
          <w:szCs w:val="24"/>
        </w:rPr>
        <w:t>Bildirim Formu</w:t>
      </w:r>
    </w:p>
    <w:p w:rsidR="0017773F" w:rsidRDefault="0017773F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4BC6">
        <w:rPr>
          <w:rFonts w:ascii="Times New Roman" w:hAnsi="Times New Roman" w:cs="Times New Roman"/>
          <w:sz w:val="24"/>
          <w:szCs w:val="24"/>
        </w:rPr>
        <w:t>Mavi Kod İstatistik Formu</w:t>
      </w:r>
    </w:p>
    <w:p w:rsidR="00CA5B6F" w:rsidRDefault="00CA5B6F" w:rsidP="002C0E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CD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4A5" w:rsidRDefault="00CD44A5" w:rsidP="00CD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4A5" w:rsidRDefault="00CD44A5" w:rsidP="00CD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CA5B6F">
      <w:pPr>
        <w:spacing w:after="0" w:line="240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Default="00CA5B6F" w:rsidP="006F4BC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A5B6F" w:rsidRPr="006F4BC6" w:rsidRDefault="00CA5B6F" w:rsidP="0076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5B6F" w:rsidRPr="006F4BC6" w:rsidSect="00CD44A5">
      <w:headerReference w:type="default" r:id="rId8"/>
      <w:headerReference w:type="first" r:id="rId9"/>
      <w:pgSz w:w="11906" w:h="16838"/>
      <w:pgMar w:top="709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F9" w:rsidRDefault="00457CF9" w:rsidP="000E7263">
      <w:pPr>
        <w:spacing w:after="0" w:line="240" w:lineRule="auto"/>
      </w:pPr>
      <w:r>
        <w:separator/>
      </w:r>
    </w:p>
  </w:endnote>
  <w:endnote w:type="continuationSeparator" w:id="0">
    <w:p w:rsidR="00457CF9" w:rsidRDefault="00457CF9" w:rsidP="000E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F9" w:rsidRDefault="00457CF9" w:rsidP="000E7263">
      <w:pPr>
        <w:spacing w:after="0" w:line="240" w:lineRule="auto"/>
      </w:pPr>
      <w:r>
        <w:separator/>
      </w:r>
    </w:p>
  </w:footnote>
  <w:footnote w:type="continuationSeparator" w:id="0">
    <w:p w:rsidR="00457CF9" w:rsidRDefault="00457CF9" w:rsidP="000E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5C7EBC" w:rsidTr="002C1AA2">
      <w:trPr>
        <w:trHeight w:val="979"/>
      </w:trPr>
      <w:tc>
        <w:tcPr>
          <w:tcW w:w="1702" w:type="dxa"/>
          <w:vMerge w:val="restart"/>
        </w:tcPr>
        <w:p w:rsidR="005C7EBC" w:rsidRDefault="005C7EBC" w:rsidP="005C7EB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20A8B08" wp14:editId="098485C1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MAVİ KOD</w:t>
          </w:r>
        </w:p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UYGULAMA TALİMATI</w:t>
          </w:r>
        </w:p>
      </w:tc>
      <w:tc>
        <w:tcPr>
          <w:tcW w:w="1701" w:type="dxa"/>
          <w:vMerge w:val="restart"/>
        </w:tcPr>
        <w:p w:rsidR="005C7EBC" w:rsidRDefault="005C7EBC" w:rsidP="005C7EB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C0BFA68" wp14:editId="32923196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C7EBC" w:rsidTr="002C1AA2">
      <w:trPr>
        <w:trHeight w:val="430"/>
      </w:trPr>
      <w:tc>
        <w:tcPr>
          <w:tcW w:w="1702" w:type="dxa"/>
          <w:vMerge/>
        </w:tcPr>
        <w:p w:rsidR="005C7EBC" w:rsidRDefault="005C7EBC" w:rsidP="005C7EBC"/>
      </w:tc>
      <w:tc>
        <w:tcPr>
          <w:tcW w:w="1417" w:type="dxa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5C7EBC" w:rsidRPr="006F4BC6" w:rsidRDefault="005C7EBC" w:rsidP="005C7EB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5C7EBC" w:rsidRDefault="005C7EBC" w:rsidP="005C7EBC"/>
      </w:tc>
    </w:tr>
    <w:tr w:rsidR="005C7EBC" w:rsidTr="00FF0058">
      <w:trPr>
        <w:trHeight w:val="58"/>
      </w:trPr>
      <w:tc>
        <w:tcPr>
          <w:tcW w:w="1702" w:type="dxa"/>
          <w:vMerge/>
        </w:tcPr>
        <w:p w:rsidR="005C7EBC" w:rsidRDefault="005C7EBC" w:rsidP="005C7EBC"/>
      </w:tc>
      <w:tc>
        <w:tcPr>
          <w:tcW w:w="1417" w:type="dxa"/>
          <w:vAlign w:val="center"/>
        </w:tcPr>
        <w:p w:rsidR="005C7EBC" w:rsidRPr="006F4BC6" w:rsidRDefault="005C7EBC" w:rsidP="00FF005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sz w:val="20"/>
              <w:szCs w:val="20"/>
            </w:rPr>
            <w:t>KAD.TL.01</w:t>
          </w:r>
        </w:p>
      </w:tc>
      <w:tc>
        <w:tcPr>
          <w:tcW w:w="1276" w:type="dxa"/>
          <w:vAlign w:val="center"/>
        </w:tcPr>
        <w:p w:rsidR="005C7EBC" w:rsidRPr="006F4BC6" w:rsidRDefault="00862AF2" w:rsidP="00FF005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418" w:type="dxa"/>
        </w:tcPr>
        <w:p w:rsidR="005C7EBC" w:rsidRPr="00CA5B6F" w:rsidRDefault="00CA5B6F" w:rsidP="00CA5B6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A5B6F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5C7EBC" w:rsidRPr="00CA5B6F" w:rsidRDefault="00CA5B6F" w:rsidP="00CA5B6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A5B6F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5C7EBC" w:rsidRPr="006F4BC6" w:rsidRDefault="00FF0058" w:rsidP="00FF005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5C7EBC" w:rsidRDefault="005C7EBC" w:rsidP="005C7EBC"/>
      </w:tc>
    </w:tr>
  </w:tbl>
  <w:p w:rsidR="005C7EBC" w:rsidRPr="005C7EBC" w:rsidRDefault="005C7EBC" w:rsidP="005C7E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276"/>
      <w:gridCol w:w="1417"/>
      <w:gridCol w:w="1276"/>
      <w:gridCol w:w="992"/>
      <w:gridCol w:w="1701"/>
    </w:tblGrid>
    <w:tr w:rsidR="007D7B30" w:rsidTr="000C5E32">
      <w:trPr>
        <w:trHeight w:val="979"/>
      </w:trPr>
      <w:tc>
        <w:tcPr>
          <w:tcW w:w="1844" w:type="dxa"/>
          <w:vMerge w:val="restart"/>
        </w:tcPr>
        <w:p w:rsidR="007D7B30" w:rsidRDefault="000C5E32" w:rsidP="007D7B3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5A78144" wp14:editId="6616F0D5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23" name="Resi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D7B30">
            <w:t xml:space="preserve">                                                   </w:t>
          </w:r>
        </w:p>
      </w:tc>
      <w:tc>
        <w:tcPr>
          <w:tcW w:w="6378" w:type="dxa"/>
          <w:gridSpan w:val="5"/>
          <w:vAlign w:val="center"/>
        </w:tcPr>
        <w:p w:rsidR="007D7B30" w:rsidRDefault="007D7B30" w:rsidP="000C5E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MAVİ KOD</w:t>
          </w:r>
        </w:p>
        <w:p w:rsidR="007D7B30" w:rsidRDefault="007D7B30" w:rsidP="000C5E32">
          <w:pPr>
            <w:jc w:val="center"/>
          </w:pPr>
          <w:r>
            <w:rPr>
              <w:b/>
              <w:sz w:val="28"/>
              <w:szCs w:val="28"/>
            </w:rPr>
            <w:t>UYGULAMA TALİMATI</w:t>
          </w:r>
        </w:p>
      </w:tc>
      <w:tc>
        <w:tcPr>
          <w:tcW w:w="1701" w:type="dxa"/>
          <w:vMerge w:val="restart"/>
        </w:tcPr>
        <w:p w:rsidR="007D7B30" w:rsidRDefault="007D7B30" w:rsidP="007D7B3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C879E5F" wp14:editId="09D377EF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C5E32" w:rsidTr="000C5E32">
      <w:trPr>
        <w:trHeight w:val="430"/>
      </w:trPr>
      <w:tc>
        <w:tcPr>
          <w:tcW w:w="1844" w:type="dxa"/>
          <w:vMerge/>
        </w:tcPr>
        <w:p w:rsidR="007D7B30" w:rsidRDefault="007D7B30" w:rsidP="007D7B30"/>
      </w:tc>
      <w:tc>
        <w:tcPr>
          <w:tcW w:w="1417" w:type="dxa"/>
        </w:tcPr>
        <w:p w:rsidR="007D7B30" w:rsidRDefault="007D7B30" w:rsidP="007D7B3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7D7B30" w:rsidRDefault="007D7B30" w:rsidP="007D7B3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7" w:type="dxa"/>
        </w:tcPr>
        <w:p w:rsidR="007D7B30" w:rsidRDefault="007D7B30" w:rsidP="007D7B30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276" w:type="dxa"/>
        </w:tcPr>
        <w:p w:rsidR="007D7B30" w:rsidRDefault="007D7B30" w:rsidP="007D7B30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D7B30" w:rsidRDefault="007D7B30" w:rsidP="007D7B3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D7B30" w:rsidRDefault="007D7B30" w:rsidP="007D7B3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D7B30" w:rsidRDefault="007D7B30" w:rsidP="007D7B30"/>
      </w:tc>
    </w:tr>
    <w:tr w:rsidR="000C5E32" w:rsidTr="000C5E32">
      <w:trPr>
        <w:trHeight w:val="58"/>
      </w:trPr>
      <w:tc>
        <w:tcPr>
          <w:tcW w:w="1844" w:type="dxa"/>
          <w:vMerge/>
        </w:tcPr>
        <w:p w:rsidR="007D7B30" w:rsidRDefault="007D7B30" w:rsidP="007D7B30"/>
      </w:tc>
      <w:tc>
        <w:tcPr>
          <w:tcW w:w="1417" w:type="dxa"/>
        </w:tcPr>
        <w:p w:rsidR="007D7B30" w:rsidRDefault="000C5E32" w:rsidP="007D7B30">
          <w:r>
            <w:t>KAD.TL.01</w:t>
          </w:r>
        </w:p>
      </w:tc>
      <w:tc>
        <w:tcPr>
          <w:tcW w:w="1276" w:type="dxa"/>
        </w:tcPr>
        <w:p w:rsidR="007D7B30" w:rsidRDefault="000C5E32" w:rsidP="007D7B30">
          <w:r>
            <w:t>21.12.2018</w:t>
          </w:r>
        </w:p>
      </w:tc>
      <w:tc>
        <w:tcPr>
          <w:tcW w:w="1417" w:type="dxa"/>
        </w:tcPr>
        <w:p w:rsidR="007D7B30" w:rsidRDefault="007D7B30" w:rsidP="007D7B30"/>
      </w:tc>
      <w:tc>
        <w:tcPr>
          <w:tcW w:w="1276" w:type="dxa"/>
        </w:tcPr>
        <w:p w:rsidR="007D7B30" w:rsidRDefault="007D7B30" w:rsidP="007D7B30"/>
      </w:tc>
      <w:tc>
        <w:tcPr>
          <w:tcW w:w="992" w:type="dxa"/>
        </w:tcPr>
        <w:p w:rsidR="007D7B30" w:rsidRDefault="007D7B30" w:rsidP="007D7B30"/>
      </w:tc>
      <w:tc>
        <w:tcPr>
          <w:tcW w:w="1701" w:type="dxa"/>
          <w:vMerge/>
        </w:tcPr>
        <w:p w:rsidR="007D7B30" w:rsidRDefault="007D7B30" w:rsidP="007D7B30"/>
      </w:tc>
    </w:tr>
  </w:tbl>
  <w:p w:rsidR="007D7B30" w:rsidRDefault="007D7B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55F"/>
    <w:multiLevelType w:val="hybridMultilevel"/>
    <w:tmpl w:val="94447F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21F06C1"/>
    <w:multiLevelType w:val="hybridMultilevel"/>
    <w:tmpl w:val="69543FC2"/>
    <w:lvl w:ilvl="0" w:tplc="3D207F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7890864"/>
    <w:multiLevelType w:val="hybridMultilevel"/>
    <w:tmpl w:val="37B6C06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2B"/>
    <w:rsid w:val="00027ACF"/>
    <w:rsid w:val="000C5E32"/>
    <w:rsid w:val="000E71DB"/>
    <w:rsid w:val="000E7263"/>
    <w:rsid w:val="0017773F"/>
    <w:rsid w:val="001D7610"/>
    <w:rsid w:val="001E20F9"/>
    <w:rsid w:val="001F659E"/>
    <w:rsid w:val="002247FC"/>
    <w:rsid w:val="00276DAE"/>
    <w:rsid w:val="0028195E"/>
    <w:rsid w:val="002C0E96"/>
    <w:rsid w:val="002C1AA2"/>
    <w:rsid w:val="00333F80"/>
    <w:rsid w:val="00352D7D"/>
    <w:rsid w:val="003D608A"/>
    <w:rsid w:val="003E2689"/>
    <w:rsid w:val="003E4317"/>
    <w:rsid w:val="00457CF9"/>
    <w:rsid w:val="00567258"/>
    <w:rsid w:val="005A74C9"/>
    <w:rsid w:val="005C7EBC"/>
    <w:rsid w:val="00693EEA"/>
    <w:rsid w:val="006D3DF6"/>
    <w:rsid w:val="006F4BC6"/>
    <w:rsid w:val="00747CED"/>
    <w:rsid w:val="00764B60"/>
    <w:rsid w:val="007D7B30"/>
    <w:rsid w:val="008466E0"/>
    <w:rsid w:val="00851897"/>
    <w:rsid w:val="00862AF2"/>
    <w:rsid w:val="008A2934"/>
    <w:rsid w:val="008A3D34"/>
    <w:rsid w:val="008D1FBB"/>
    <w:rsid w:val="008D3DB5"/>
    <w:rsid w:val="00917C31"/>
    <w:rsid w:val="00920D45"/>
    <w:rsid w:val="00A1006B"/>
    <w:rsid w:val="00A13FED"/>
    <w:rsid w:val="00AE0B6E"/>
    <w:rsid w:val="00AF2702"/>
    <w:rsid w:val="00B41B4F"/>
    <w:rsid w:val="00BC1619"/>
    <w:rsid w:val="00BD0474"/>
    <w:rsid w:val="00C02629"/>
    <w:rsid w:val="00C43951"/>
    <w:rsid w:val="00C462B5"/>
    <w:rsid w:val="00C75923"/>
    <w:rsid w:val="00CA5B6F"/>
    <w:rsid w:val="00CD44A5"/>
    <w:rsid w:val="00D33D73"/>
    <w:rsid w:val="00D55D2B"/>
    <w:rsid w:val="00D9441E"/>
    <w:rsid w:val="00DC1C39"/>
    <w:rsid w:val="00DE4D48"/>
    <w:rsid w:val="00E2568F"/>
    <w:rsid w:val="00ED707A"/>
    <w:rsid w:val="00EF5CA1"/>
    <w:rsid w:val="00FB589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0F0DCC"/>
  <w15:chartTrackingRefBased/>
  <w15:docId w15:val="{50FDD1E4-1DE7-458D-8D97-F7002267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26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E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263"/>
  </w:style>
  <w:style w:type="paragraph" w:styleId="AltBilgi">
    <w:name w:val="footer"/>
    <w:basedOn w:val="Normal"/>
    <w:link w:val="AltBilgiChar"/>
    <w:uiPriority w:val="99"/>
    <w:unhideWhenUsed/>
    <w:rsid w:val="000E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263"/>
  </w:style>
  <w:style w:type="paragraph" w:styleId="ListeParagraf">
    <w:name w:val="List Paragraph"/>
    <w:basedOn w:val="Normal"/>
    <w:uiPriority w:val="34"/>
    <w:qFormat/>
    <w:rsid w:val="0017773F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D33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CA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1FD7-26E5-4ADD-81B1-FC066C2A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2018-07-17T12:35:00Z</cp:lastPrinted>
  <dcterms:created xsi:type="dcterms:W3CDTF">2025-08-29T11:20:00Z</dcterms:created>
  <dcterms:modified xsi:type="dcterms:W3CDTF">2025-10-24T07:58:00Z</dcterms:modified>
</cp:coreProperties>
</file>