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A1C" w:rsidRPr="00E41885" w:rsidRDefault="00B1385C" w:rsidP="004A5A1C">
      <w:pPr>
        <w:jc w:val="center"/>
        <w:rPr>
          <w:b/>
        </w:rPr>
      </w:pPr>
      <w:r>
        <w:rPr>
          <w:b/>
        </w:rPr>
        <w:t xml:space="preserve">PAMUKKALE ÜNİVERSİTESİ </w:t>
      </w:r>
      <w:bookmarkStart w:id="0" w:name="_GoBack"/>
      <w:bookmarkEnd w:id="0"/>
      <w:r w:rsidR="004A5A1C" w:rsidRPr="00E41885">
        <w:rPr>
          <w:b/>
        </w:rPr>
        <w:t>TIP FAKÜLTESİ</w:t>
      </w:r>
    </w:p>
    <w:p w:rsidR="004A5A1C" w:rsidRPr="00E41885" w:rsidRDefault="004A5A1C" w:rsidP="004A5A1C">
      <w:pPr>
        <w:jc w:val="center"/>
        <w:rPr>
          <w:b/>
        </w:rPr>
      </w:pPr>
      <w:r w:rsidRPr="00E41885">
        <w:rPr>
          <w:b/>
        </w:rPr>
        <w:t>FARMAKOLOJİ ANABİLİM DALI</w:t>
      </w:r>
    </w:p>
    <w:p w:rsidR="004A5A1C" w:rsidRPr="00E41885" w:rsidRDefault="004A5A1C" w:rsidP="004A5A1C">
      <w:pPr>
        <w:jc w:val="center"/>
        <w:rPr>
          <w:b/>
        </w:rPr>
      </w:pPr>
      <w:r w:rsidRPr="00E41885">
        <w:rPr>
          <w:b/>
        </w:rPr>
        <w:t>DÖNEM III BLOK 3   MODÜL 14</w:t>
      </w:r>
    </w:p>
    <w:p w:rsidR="004A5A1C" w:rsidRPr="00E41885" w:rsidRDefault="004A5A1C" w:rsidP="004A5A1C">
      <w:pPr>
        <w:jc w:val="center"/>
        <w:rPr>
          <w:b/>
        </w:rPr>
      </w:pPr>
      <w:r w:rsidRPr="00E41885">
        <w:rPr>
          <w:b/>
        </w:rPr>
        <w:t>EPİLEPSİ MODELLERİ- UYGULAMA REHBERİ</w:t>
      </w:r>
    </w:p>
    <w:p w:rsidR="004A5A1C" w:rsidRPr="00E41885" w:rsidRDefault="004A5A1C" w:rsidP="004A5A1C">
      <w:pPr>
        <w:jc w:val="center"/>
        <w:rPr>
          <w:b/>
        </w:rPr>
      </w:pPr>
    </w:p>
    <w:p w:rsidR="004A5A1C" w:rsidRPr="00E41885" w:rsidRDefault="004A5A1C" w:rsidP="004A5A1C">
      <w:pPr>
        <w:rPr>
          <w:b/>
        </w:rPr>
      </w:pPr>
      <w:r w:rsidRPr="00E41885">
        <w:rPr>
          <w:b/>
        </w:rPr>
        <w:t>Uygulamanın Adı: Epilepsi Modelleri</w:t>
      </w:r>
    </w:p>
    <w:p w:rsidR="004A5A1C" w:rsidRPr="00E41885" w:rsidRDefault="004A5A1C" w:rsidP="004A5A1C">
      <w:pPr>
        <w:jc w:val="both"/>
        <w:rPr>
          <w:b/>
        </w:rPr>
      </w:pPr>
      <w:r w:rsidRPr="00E41885">
        <w:rPr>
          <w:b/>
        </w:rPr>
        <w:t>Uygumla Tarihi/saati/süresi:</w:t>
      </w:r>
      <w:r w:rsidRPr="00E41885">
        <w:t xml:space="preserve">12.03.2019 </w:t>
      </w:r>
    </w:p>
    <w:p w:rsidR="004A5A1C" w:rsidRPr="00E41885" w:rsidRDefault="004A5A1C" w:rsidP="004A5A1C">
      <w:pPr>
        <w:jc w:val="both"/>
      </w:pPr>
    </w:p>
    <w:p w:rsidR="004A5A1C" w:rsidRPr="00E41885" w:rsidRDefault="00C13C99" w:rsidP="00C13C99">
      <w:pPr>
        <w:jc w:val="both"/>
      </w:pPr>
      <w:r w:rsidRPr="00E41885">
        <w:rPr>
          <w:b/>
        </w:rPr>
        <w:t>I-</w:t>
      </w:r>
      <w:r w:rsidR="004A5A1C" w:rsidRPr="00E41885">
        <w:rPr>
          <w:b/>
        </w:rPr>
        <w:t>Amaç:</w:t>
      </w:r>
      <w:r w:rsidR="004A5A1C" w:rsidRPr="00E41885">
        <w:t xml:space="preserve"> Epilepsi nedenlerini öğrenmek  ve epilepsiyi deneysel olarak oluşturmak </w:t>
      </w:r>
    </w:p>
    <w:p w:rsidR="004A5A1C" w:rsidRPr="00E41885" w:rsidRDefault="004A5A1C" w:rsidP="004A5A1C">
      <w:pPr>
        <w:jc w:val="both"/>
        <w:rPr>
          <w:b/>
        </w:rPr>
      </w:pPr>
    </w:p>
    <w:p w:rsidR="004A5A1C" w:rsidRPr="00E41885" w:rsidRDefault="004A5A1C" w:rsidP="004A5A1C">
      <w:pPr>
        <w:jc w:val="both"/>
        <w:rPr>
          <w:b/>
        </w:rPr>
      </w:pPr>
      <w:r w:rsidRPr="00E41885">
        <w:rPr>
          <w:b/>
        </w:rPr>
        <w:t>II.</w:t>
      </w:r>
      <w:r w:rsidR="00C13C99" w:rsidRPr="00E41885">
        <w:rPr>
          <w:b/>
        </w:rPr>
        <w:t xml:space="preserve"> </w:t>
      </w:r>
      <w:r w:rsidRPr="00E41885">
        <w:rPr>
          <w:b/>
        </w:rPr>
        <w:t>Genel Bilgi</w:t>
      </w:r>
    </w:p>
    <w:p w:rsidR="004A5A1C" w:rsidRPr="00E41885" w:rsidRDefault="004A5A1C" w:rsidP="004A5A1C">
      <w:pPr>
        <w:jc w:val="both"/>
        <w:rPr>
          <w:b/>
        </w:rPr>
      </w:pPr>
      <w:r w:rsidRPr="00E41885">
        <w:rPr>
          <w:b/>
        </w:rPr>
        <w:t>Epilepsi Modelleri</w:t>
      </w:r>
    </w:p>
    <w:p w:rsidR="004A5A1C" w:rsidRPr="00E41885" w:rsidRDefault="004A5A1C" w:rsidP="004A5A1C">
      <w:pPr>
        <w:jc w:val="both"/>
      </w:pPr>
      <w:r w:rsidRPr="00E41885">
        <w:t xml:space="preserve">Deneysel modeller akut ve kronik olmak üzere iki kategoriye ayrılır. Akut model: elektriksel veya kimyasal uyarılar ile naif sağlıklı (epileptik olmayan) deneklerde reaktif ve provoke edilmiş  nöbetlerdir. Akut nöbetler pentelentetrazol ve maksimum elektrokovülsif şok  ile elde edilir. Eskiden kullanılmaktaydı fakat yanlış sonuçlara neden olmaktadır. Deneysel olarak etkin olan klinikte etkili olmayan ilaçlar elde edilmiştir. Ayrıca yeni bazı epilepsi çeşitlerinde etkili olan </w:t>
      </w:r>
      <w:r w:rsidR="003C2042" w:rsidRPr="00E41885">
        <w:t>a</w:t>
      </w:r>
      <w:r w:rsidRPr="00E41885">
        <w:t>ntiepileptik ilaçlar (AEİ’ler) bu gibi modellerde etkili değildirler. Kronik model: elektriksel veya kimyasal uyarılar ile epileptik kılınmış, veya kalıtsal olarak epileptik doğmuş deneklerde oluşturulmuş bir modeldir.  Kronik modeller daha fazla epilepsideki değişiklikleri yansıtır. Genelde, kimyasal ve elektriksel modeller ilaç geliştirilmesinde ve klinikte epilepsi kategorisine göre AEİ kullanımında yol göstermişlerdir. Genetik modeller ise epilepsi mekanizmasının aydınlatılmasında önemli katkı sağlamışlardır. D</w:t>
      </w:r>
      <w:r w:rsidR="003C2042" w:rsidRPr="00E41885">
        <w:t>e</w:t>
      </w:r>
      <w:r w:rsidRPr="00E41885">
        <w:t>neysel modeller üzerinde ki</w:t>
      </w:r>
      <w:r w:rsidR="003C2042" w:rsidRPr="00E41885">
        <w:t xml:space="preserve"> </w:t>
      </w:r>
      <w:r w:rsidRPr="00E41885">
        <w:t>etki  ve klinik etkinlik arasındaki koşutluk tablo 3’te verilmiştir.</w:t>
      </w:r>
    </w:p>
    <w:p w:rsidR="004A5A1C" w:rsidRPr="00E41885" w:rsidRDefault="004A5A1C" w:rsidP="004A5A1C">
      <w:pPr>
        <w:jc w:val="both"/>
        <w:rPr>
          <w:b/>
        </w:rPr>
      </w:pPr>
    </w:p>
    <w:p w:rsidR="004A5A1C" w:rsidRPr="00E41885" w:rsidRDefault="004A5A1C" w:rsidP="004A5A1C">
      <w:pPr>
        <w:jc w:val="both"/>
      </w:pPr>
      <w:r w:rsidRPr="00E41885">
        <w:rPr>
          <w:b/>
        </w:rPr>
        <w:t>1. Pentilentetrazol (PTZ) modeli</w:t>
      </w:r>
      <w:r w:rsidRPr="00E41885">
        <w:t xml:space="preserve">: </w:t>
      </w:r>
      <w:r w:rsidRPr="00E41885">
        <w:rPr>
          <w:color w:val="000000"/>
        </w:rPr>
        <w:t>PTZ 80 mg/kg, i.p. veya</w:t>
      </w:r>
      <w:r w:rsidRPr="00E41885">
        <w:t xml:space="preserve"> 60 mg/kg (ED50- 33mg/kg – ile medyan doz-75 mg/kg arasıdır) ile oluşan nöbetlerdir. Ayrıca PTZ ile kindling’de yapılır: 60 mg/kg s.c. 3 günde bir 6 doz verilir ve 30 dak izlenim sırasında nöbetler skorlanır: 0-konvülsiyon yok; 1-kısa süreli ani çekiş/itme (</w:t>
      </w:r>
      <w:r w:rsidRPr="00E41885">
        <w:rPr>
          <w:color w:val="000000"/>
        </w:rPr>
        <w:t>jerkler</w:t>
      </w:r>
      <w:r w:rsidRPr="00E41885">
        <w:t>); 2- ön kol’da üç saniyeden az devam eden klonik konvülsiyon; 3-&gt; ön kol’da üç saniyeden fazla devam eden klonik konvülsiyon;4-generalize konvülsiyon: tonik ekstansiyon epizodlar ve tam status epileptikus; 5-ölüm. Üç veya üzeri skor değerinde kindling oluşmuş sayılır</w:t>
      </w:r>
      <w:r w:rsidRPr="00E41885">
        <w:rPr>
          <w:bCs/>
        </w:rPr>
        <w:t>.</w:t>
      </w:r>
      <w:r w:rsidRPr="00E41885">
        <w:rPr>
          <w:vertAlign w:val="superscript"/>
        </w:rPr>
        <w:t xml:space="preserve">  </w:t>
      </w:r>
      <w:r w:rsidRPr="00E41885">
        <w:t xml:space="preserve">Diğer bir sistemde PTZ subkonvülsif doz olan 25 mg/kg i.p. iki günde bir 5 hafta süre ile verilir. Konvülsiyon skorlanır: 0=konvülsiyon yok; 1=ağız ve yüz jerkleri; 2=baş sallama veya vücut miyoklonik jerkleri; 3= ön kol’da klonus;4=Durmak/ düşmek, arka bacak’ta klonus ve ön kol’da tonus; 5= arka bacak’ta tonik extansiyon, status epileptikus ve/veya ölüm. Skorlar PTZ’den 30 dak sonra alınır ve 3 ardışık dozda 4 değerinde skor elde edilirse kindling oluşmuş sayılır. </w:t>
      </w:r>
    </w:p>
    <w:p w:rsidR="004A5A1C" w:rsidRPr="00E41885" w:rsidRDefault="004A5A1C" w:rsidP="004A5A1C">
      <w:pPr>
        <w:jc w:val="both"/>
      </w:pPr>
    </w:p>
    <w:p w:rsidR="004A5A1C" w:rsidRPr="00E41885" w:rsidRDefault="004A5A1C" w:rsidP="004A5A1C">
      <w:pPr>
        <w:jc w:val="both"/>
      </w:pPr>
      <w:r w:rsidRPr="00E41885">
        <w:rPr>
          <w:b/>
        </w:rPr>
        <w:t>2. Maksimum elektrkonvülsif şok (MEŞ) modeli</w:t>
      </w:r>
      <w:r w:rsidRPr="00E41885">
        <w:t>:</w:t>
      </w:r>
      <w:r w:rsidRPr="00E41885">
        <w:rPr>
          <w:b/>
        </w:rPr>
        <w:t xml:space="preserve"> </w:t>
      </w:r>
      <w:r w:rsidRPr="00E41885">
        <w:t xml:space="preserve"> ED50 değeri olan 46 mA verildikten  1.6 sn sonra ön kol fleksiyonu ve bacak extansiyonu  başlar, ve 13 sn devam eder. Terminal klonus 7.6 sn devam ed</w:t>
      </w:r>
      <w:r w:rsidR="003C2042" w:rsidRPr="00E41885">
        <w:t>e</w:t>
      </w:r>
      <w:r w:rsidRPr="00E41885">
        <w:t>r. Total nöbet süresi 22 saniyedir.</w:t>
      </w:r>
      <w:r w:rsidRPr="00E41885">
        <w:rPr>
          <w:vertAlign w:val="superscript"/>
        </w:rPr>
        <w:t xml:space="preserve"> </w:t>
      </w:r>
      <w:r w:rsidRPr="00E41885">
        <w:t xml:space="preserve">  </w:t>
      </w:r>
    </w:p>
    <w:p w:rsidR="004A5A1C" w:rsidRPr="00E41885" w:rsidRDefault="004A5A1C" w:rsidP="004A5A1C">
      <w:pPr>
        <w:jc w:val="both"/>
        <w:rPr>
          <w:b/>
        </w:rPr>
      </w:pPr>
    </w:p>
    <w:p w:rsidR="004A5A1C" w:rsidRPr="00E41885" w:rsidRDefault="004A5A1C" w:rsidP="004A5A1C">
      <w:pPr>
        <w:jc w:val="both"/>
      </w:pPr>
      <w:r w:rsidRPr="00E41885">
        <w:rPr>
          <w:b/>
        </w:rPr>
        <w:t>3. Elektrik kindling</w:t>
      </w:r>
      <w:r w:rsidRPr="00E41885">
        <w:t xml:space="preserve">: Hippokampus ve amigdala’dan yapılır. Hippokampal kindling’de 30 dak aralıklarla günde 12 uyarı uygulanır (her biri 1 ms’den oluşan, 1 sn bifazik kare dalga, 20 Hz ve 400 uA). Amigdala kindling’de </w:t>
      </w:r>
      <w:r w:rsidRPr="00E41885">
        <w:rPr>
          <w:color w:val="000000"/>
        </w:rPr>
        <w:t>bir millisaniye</w:t>
      </w:r>
      <w:r w:rsidRPr="00E41885">
        <w:t xml:space="preserve"> monofazik rektangular puls’tan oluşan 1 saniyelik 50 µA ile başlayan 62 Hz bir saniyelik puls uygulanır. Daha sonra 5 sn süre ile ve 2 dak ara ile basamaklı 25 µA puls 100 µA after deşarj ortaya çıkıncaya dek uygulanır. 400 µA’den fazla uyarı gerektiren denekler çalışmaya alınmaz. After de</w:t>
      </w:r>
      <w:r w:rsidR="003C2042" w:rsidRPr="00E41885">
        <w:t>ş</w:t>
      </w:r>
      <w:r w:rsidRPr="00E41885">
        <w:t xml:space="preserve">arj 100 µA günde bir </w:t>
      </w:r>
    </w:p>
    <w:p w:rsidR="004A5A1C" w:rsidRPr="00E41885" w:rsidRDefault="004A5A1C" w:rsidP="004A5A1C">
      <w:pPr>
        <w:jc w:val="both"/>
      </w:pPr>
    </w:p>
    <w:p w:rsidR="004A5A1C" w:rsidRPr="00E41885" w:rsidRDefault="004A5A1C" w:rsidP="004A5A1C">
      <w:pPr>
        <w:jc w:val="both"/>
      </w:pPr>
      <w:r w:rsidRPr="00E41885">
        <w:t>Kullanılmakta olan antiepileptik ilaçların deneysel modeller üzerinde ve klinikteki etkileri.</w:t>
      </w:r>
    </w:p>
    <w:tbl>
      <w:tblPr>
        <w:tblW w:w="989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9"/>
        <w:gridCol w:w="720"/>
        <w:gridCol w:w="720"/>
        <w:gridCol w:w="720"/>
        <w:gridCol w:w="720"/>
        <w:gridCol w:w="900"/>
        <w:gridCol w:w="720"/>
        <w:gridCol w:w="720"/>
        <w:gridCol w:w="900"/>
        <w:gridCol w:w="900"/>
        <w:gridCol w:w="720"/>
      </w:tblGrid>
      <w:tr w:rsidR="004A5A1C" w:rsidRPr="00E41885" w:rsidTr="00E41885">
        <w:trPr>
          <w:trHeight w:val="113"/>
        </w:trPr>
        <w:tc>
          <w:tcPr>
            <w:tcW w:w="2159" w:type="dxa"/>
            <w:vMerge w:val="restart"/>
          </w:tcPr>
          <w:p w:rsidR="004A5A1C" w:rsidRPr="00E41885" w:rsidRDefault="004A5A1C" w:rsidP="00F01878">
            <w:pPr>
              <w:jc w:val="both"/>
              <w:rPr>
                <w:b/>
              </w:rPr>
            </w:pPr>
          </w:p>
        </w:tc>
        <w:tc>
          <w:tcPr>
            <w:tcW w:w="4500" w:type="dxa"/>
            <w:gridSpan w:val="6"/>
            <w:vMerge w:val="restart"/>
          </w:tcPr>
          <w:p w:rsidR="004A5A1C" w:rsidRPr="00E41885" w:rsidRDefault="004A5A1C" w:rsidP="00F01878">
            <w:pPr>
              <w:jc w:val="both"/>
              <w:rPr>
                <w:b/>
              </w:rPr>
            </w:pPr>
            <w:r w:rsidRPr="00E41885">
              <w:rPr>
                <w:b/>
              </w:rPr>
              <w:t xml:space="preserve">           Deneysel modellerde etkinlik</w:t>
            </w:r>
          </w:p>
        </w:tc>
        <w:tc>
          <w:tcPr>
            <w:tcW w:w="3240" w:type="dxa"/>
            <w:gridSpan w:val="4"/>
          </w:tcPr>
          <w:p w:rsidR="004A5A1C" w:rsidRPr="00E41885" w:rsidRDefault="004A5A1C" w:rsidP="00F01878">
            <w:pPr>
              <w:jc w:val="both"/>
              <w:rPr>
                <w:b/>
              </w:rPr>
            </w:pPr>
            <w:r w:rsidRPr="00E41885">
              <w:rPr>
                <w:b/>
              </w:rPr>
              <w:t xml:space="preserve">                 Klinik etkinlik</w:t>
            </w:r>
          </w:p>
        </w:tc>
      </w:tr>
      <w:tr w:rsidR="004A5A1C" w:rsidRPr="00E41885" w:rsidTr="00E41885">
        <w:trPr>
          <w:trHeight w:val="112"/>
        </w:trPr>
        <w:tc>
          <w:tcPr>
            <w:tcW w:w="2159" w:type="dxa"/>
            <w:vMerge/>
          </w:tcPr>
          <w:p w:rsidR="004A5A1C" w:rsidRPr="00E41885" w:rsidRDefault="004A5A1C" w:rsidP="00F01878">
            <w:pPr>
              <w:jc w:val="both"/>
              <w:rPr>
                <w:b/>
              </w:rPr>
            </w:pPr>
          </w:p>
        </w:tc>
        <w:tc>
          <w:tcPr>
            <w:tcW w:w="4500" w:type="dxa"/>
            <w:gridSpan w:val="6"/>
            <w:vMerge/>
          </w:tcPr>
          <w:p w:rsidR="004A5A1C" w:rsidRPr="00E41885" w:rsidRDefault="004A5A1C" w:rsidP="00F01878">
            <w:pPr>
              <w:jc w:val="both"/>
              <w:rPr>
                <w:b/>
              </w:rPr>
            </w:pPr>
          </w:p>
        </w:tc>
        <w:tc>
          <w:tcPr>
            <w:tcW w:w="720" w:type="dxa"/>
            <w:vMerge w:val="restart"/>
          </w:tcPr>
          <w:p w:rsidR="004A5A1C" w:rsidRPr="00E41885" w:rsidRDefault="004A5A1C" w:rsidP="00F01878">
            <w:pPr>
              <w:jc w:val="both"/>
              <w:rPr>
                <w:b/>
              </w:rPr>
            </w:pPr>
            <w:r w:rsidRPr="00E41885">
              <w:rPr>
                <w:b/>
              </w:rPr>
              <w:t>Parsiyel</w:t>
            </w:r>
          </w:p>
        </w:tc>
        <w:tc>
          <w:tcPr>
            <w:tcW w:w="2520" w:type="dxa"/>
            <w:gridSpan w:val="3"/>
          </w:tcPr>
          <w:p w:rsidR="004A5A1C" w:rsidRPr="00E41885" w:rsidRDefault="004A5A1C" w:rsidP="00F01878">
            <w:pPr>
              <w:jc w:val="both"/>
              <w:rPr>
                <w:b/>
              </w:rPr>
            </w:pPr>
            <w:r w:rsidRPr="00E41885">
              <w:rPr>
                <w:b/>
              </w:rPr>
              <w:t xml:space="preserve">           Generalize </w:t>
            </w:r>
          </w:p>
        </w:tc>
      </w:tr>
      <w:tr w:rsidR="004A5A1C" w:rsidRPr="00E41885" w:rsidTr="00E41885">
        <w:trPr>
          <w:trHeight w:val="345"/>
        </w:trPr>
        <w:tc>
          <w:tcPr>
            <w:tcW w:w="2159" w:type="dxa"/>
            <w:vMerge w:val="restart"/>
          </w:tcPr>
          <w:p w:rsidR="004A5A1C" w:rsidRPr="00E41885" w:rsidRDefault="004A5A1C" w:rsidP="00F01878">
            <w:pPr>
              <w:jc w:val="both"/>
              <w:rPr>
                <w:b/>
              </w:rPr>
            </w:pPr>
            <w:r w:rsidRPr="00E41885">
              <w:rPr>
                <w:b/>
              </w:rPr>
              <w:t>AEİ</w:t>
            </w:r>
          </w:p>
        </w:tc>
        <w:tc>
          <w:tcPr>
            <w:tcW w:w="720" w:type="dxa"/>
            <w:vMerge w:val="restart"/>
          </w:tcPr>
          <w:p w:rsidR="004A5A1C" w:rsidRPr="00E41885" w:rsidRDefault="004A5A1C" w:rsidP="00F01878">
            <w:pPr>
              <w:jc w:val="both"/>
              <w:rPr>
                <w:b/>
              </w:rPr>
            </w:pPr>
            <w:r w:rsidRPr="00E41885">
              <w:rPr>
                <w:b/>
              </w:rPr>
              <w:t>MEŞ</w:t>
            </w:r>
          </w:p>
        </w:tc>
        <w:tc>
          <w:tcPr>
            <w:tcW w:w="720" w:type="dxa"/>
            <w:vMerge w:val="restart"/>
          </w:tcPr>
          <w:p w:rsidR="004A5A1C" w:rsidRPr="00E41885" w:rsidRDefault="004A5A1C" w:rsidP="00F01878">
            <w:pPr>
              <w:jc w:val="both"/>
              <w:rPr>
                <w:b/>
              </w:rPr>
            </w:pPr>
            <w:r w:rsidRPr="00E41885">
              <w:rPr>
                <w:b/>
              </w:rPr>
              <w:t>PTZ</w:t>
            </w:r>
          </w:p>
        </w:tc>
        <w:tc>
          <w:tcPr>
            <w:tcW w:w="1440" w:type="dxa"/>
            <w:gridSpan w:val="2"/>
          </w:tcPr>
          <w:p w:rsidR="004A5A1C" w:rsidRPr="00E41885" w:rsidRDefault="004A5A1C" w:rsidP="00F01878">
            <w:pPr>
              <w:jc w:val="both"/>
              <w:rPr>
                <w:b/>
              </w:rPr>
            </w:pPr>
            <w:r w:rsidRPr="00E41885">
              <w:rPr>
                <w:b/>
              </w:rPr>
              <w:t>AMG Kindl.</w:t>
            </w:r>
          </w:p>
        </w:tc>
        <w:tc>
          <w:tcPr>
            <w:tcW w:w="900" w:type="dxa"/>
            <w:vMerge w:val="restart"/>
          </w:tcPr>
          <w:p w:rsidR="004A5A1C" w:rsidRPr="00E41885" w:rsidRDefault="004A5A1C" w:rsidP="00F01878">
            <w:pPr>
              <w:jc w:val="both"/>
              <w:rPr>
                <w:b/>
              </w:rPr>
            </w:pPr>
            <w:r w:rsidRPr="00E41885">
              <w:rPr>
                <w:b/>
              </w:rPr>
              <w:t>Post- trava/ İnme</w:t>
            </w:r>
          </w:p>
        </w:tc>
        <w:tc>
          <w:tcPr>
            <w:tcW w:w="720" w:type="dxa"/>
            <w:vMerge w:val="restart"/>
          </w:tcPr>
          <w:p w:rsidR="004A5A1C" w:rsidRPr="00E41885" w:rsidRDefault="004A5A1C" w:rsidP="00F01878">
            <w:pPr>
              <w:jc w:val="both"/>
              <w:rPr>
                <w:b/>
              </w:rPr>
            </w:pPr>
            <w:r w:rsidRPr="00E41885">
              <w:rPr>
                <w:b/>
              </w:rPr>
              <w:t>Gen-etik</w:t>
            </w:r>
          </w:p>
        </w:tc>
        <w:tc>
          <w:tcPr>
            <w:tcW w:w="720" w:type="dxa"/>
            <w:vMerge/>
          </w:tcPr>
          <w:p w:rsidR="004A5A1C" w:rsidRPr="00E41885" w:rsidRDefault="004A5A1C" w:rsidP="00F01878">
            <w:pPr>
              <w:jc w:val="both"/>
              <w:rPr>
                <w:b/>
              </w:rPr>
            </w:pPr>
          </w:p>
        </w:tc>
        <w:tc>
          <w:tcPr>
            <w:tcW w:w="900" w:type="dxa"/>
            <w:vMerge w:val="restart"/>
          </w:tcPr>
          <w:p w:rsidR="004A5A1C" w:rsidRPr="00E41885" w:rsidRDefault="004A5A1C" w:rsidP="00F01878">
            <w:pPr>
              <w:jc w:val="both"/>
              <w:rPr>
                <w:b/>
              </w:rPr>
            </w:pPr>
            <w:r w:rsidRPr="00E41885">
              <w:rPr>
                <w:b/>
              </w:rPr>
              <w:t>Tonik/ Klonik</w:t>
            </w:r>
          </w:p>
        </w:tc>
        <w:tc>
          <w:tcPr>
            <w:tcW w:w="900" w:type="dxa"/>
            <w:vMerge w:val="restart"/>
          </w:tcPr>
          <w:p w:rsidR="004A5A1C" w:rsidRPr="00E41885" w:rsidRDefault="004A5A1C" w:rsidP="00F01878">
            <w:pPr>
              <w:jc w:val="both"/>
              <w:rPr>
                <w:b/>
              </w:rPr>
            </w:pPr>
            <w:r w:rsidRPr="00E41885">
              <w:rPr>
                <w:b/>
              </w:rPr>
              <w:t>Absans</w:t>
            </w:r>
          </w:p>
        </w:tc>
        <w:tc>
          <w:tcPr>
            <w:tcW w:w="720" w:type="dxa"/>
            <w:vMerge w:val="restart"/>
          </w:tcPr>
          <w:p w:rsidR="004A5A1C" w:rsidRPr="00E41885" w:rsidRDefault="004A5A1C" w:rsidP="00F01878">
            <w:pPr>
              <w:jc w:val="both"/>
              <w:rPr>
                <w:b/>
              </w:rPr>
            </w:pPr>
            <w:r w:rsidRPr="00E41885">
              <w:rPr>
                <w:b/>
              </w:rPr>
              <w:t>Miyo-klonik</w:t>
            </w:r>
          </w:p>
        </w:tc>
      </w:tr>
      <w:tr w:rsidR="004A5A1C" w:rsidRPr="00E41885" w:rsidTr="00E41885">
        <w:trPr>
          <w:trHeight w:val="345"/>
        </w:trPr>
        <w:tc>
          <w:tcPr>
            <w:tcW w:w="2159" w:type="dxa"/>
            <w:vMerge/>
          </w:tcPr>
          <w:p w:rsidR="004A5A1C" w:rsidRPr="00E41885" w:rsidRDefault="004A5A1C" w:rsidP="00F01878">
            <w:pPr>
              <w:jc w:val="both"/>
              <w:rPr>
                <w:b/>
              </w:rPr>
            </w:pPr>
          </w:p>
        </w:tc>
        <w:tc>
          <w:tcPr>
            <w:tcW w:w="720" w:type="dxa"/>
            <w:vMerge/>
          </w:tcPr>
          <w:p w:rsidR="004A5A1C" w:rsidRPr="00E41885" w:rsidRDefault="004A5A1C" w:rsidP="00F01878">
            <w:pPr>
              <w:jc w:val="both"/>
              <w:rPr>
                <w:b/>
              </w:rPr>
            </w:pPr>
          </w:p>
        </w:tc>
        <w:tc>
          <w:tcPr>
            <w:tcW w:w="720" w:type="dxa"/>
            <w:vMerge/>
          </w:tcPr>
          <w:p w:rsidR="004A5A1C" w:rsidRPr="00E41885" w:rsidRDefault="004A5A1C" w:rsidP="00F01878">
            <w:pPr>
              <w:jc w:val="both"/>
              <w:rPr>
                <w:b/>
              </w:rPr>
            </w:pPr>
          </w:p>
        </w:tc>
        <w:tc>
          <w:tcPr>
            <w:tcW w:w="720" w:type="dxa"/>
          </w:tcPr>
          <w:p w:rsidR="004A5A1C" w:rsidRPr="00E41885" w:rsidRDefault="004A5A1C" w:rsidP="00F01878">
            <w:pPr>
              <w:jc w:val="both"/>
              <w:rPr>
                <w:b/>
              </w:rPr>
            </w:pPr>
            <w:r w:rsidRPr="00E41885">
              <w:rPr>
                <w:b/>
              </w:rPr>
              <w:t>a</w:t>
            </w:r>
          </w:p>
        </w:tc>
        <w:tc>
          <w:tcPr>
            <w:tcW w:w="720" w:type="dxa"/>
          </w:tcPr>
          <w:p w:rsidR="004A5A1C" w:rsidRPr="00E41885" w:rsidRDefault="004A5A1C" w:rsidP="00F01878">
            <w:pPr>
              <w:jc w:val="both"/>
              <w:rPr>
                <w:b/>
              </w:rPr>
            </w:pPr>
            <w:r w:rsidRPr="00E41885">
              <w:rPr>
                <w:b/>
              </w:rPr>
              <w:t>b</w:t>
            </w:r>
          </w:p>
        </w:tc>
        <w:tc>
          <w:tcPr>
            <w:tcW w:w="900" w:type="dxa"/>
            <w:vMerge/>
          </w:tcPr>
          <w:p w:rsidR="004A5A1C" w:rsidRPr="00E41885" w:rsidRDefault="004A5A1C" w:rsidP="00F01878">
            <w:pPr>
              <w:jc w:val="both"/>
              <w:rPr>
                <w:b/>
              </w:rPr>
            </w:pPr>
          </w:p>
        </w:tc>
        <w:tc>
          <w:tcPr>
            <w:tcW w:w="720" w:type="dxa"/>
            <w:vMerge/>
          </w:tcPr>
          <w:p w:rsidR="004A5A1C" w:rsidRPr="00E41885" w:rsidRDefault="004A5A1C" w:rsidP="00F01878">
            <w:pPr>
              <w:jc w:val="both"/>
              <w:rPr>
                <w:b/>
              </w:rPr>
            </w:pPr>
          </w:p>
        </w:tc>
        <w:tc>
          <w:tcPr>
            <w:tcW w:w="720" w:type="dxa"/>
            <w:vMerge/>
          </w:tcPr>
          <w:p w:rsidR="004A5A1C" w:rsidRPr="00E41885" w:rsidRDefault="004A5A1C" w:rsidP="00F01878">
            <w:pPr>
              <w:jc w:val="both"/>
              <w:rPr>
                <w:b/>
              </w:rPr>
            </w:pPr>
          </w:p>
        </w:tc>
        <w:tc>
          <w:tcPr>
            <w:tcW w:w="900" w:type="dxa"/>
            <w:vMerge/>
          </w:tcPr>
          <w:p w:rsidR="004A5A1C" w:rsidRPr="00E41885" w:rsidRDefault="004A5A1C" w:rsidP="00F01878">
            <w:pPr>
              <w:jc w:val="both"/>
              <w:rPr>
                <w:b/>
              </w:rPr>
            </w:pPr>
          </w:p>
        </w:tc>
        <w:tc>
          <w:tcPr>
            <w:tcW w:w="900" w:type="dxa"/>
            <w:vMerge/>
          </w:tcPr>
          <w:p w:rsidR="004A5A1C" w:rsidRPr="00E41885" w:rsidRDefault="004A5A1C" w:rsidP="00F01878">
            <w:pPr>
              <w:jc w:val="both"/>
              <w:rPr>
                <w:b/>
              </w:rPr>
            </w:pPr>
          </w:p>
        </w:tc>
        <w:tc>
          <w:tcPr>
            <w:tcW w:w="720" w:type="dxa"/>
            <w:vMerge/>
          </w:tcPr>
          <w:p w:rsidR="004A5A1C" w:rsidRPr="00E41885" w:rsidRDefault="004A5A1C" w:rsidP="00F01878">
            <w:pPr>
              <w:jc w:val="both"/>
              <w:rPr>
                <w:b/>
              </w:rPr>
            </w:pPr>
          </w:p>
        </w:tc>
      </w:tr>
      <w:tr w:rsidR="004A5A1C" w:rsidRPr="00E41885" w:rsidTr="00E41885">
        <w:tc>
          <w:tcPr>
            <w:tcW w:w="2159" w:type="dxa"/>
          </w:tcPr>
          <w:p w:rsidR="004A5A1C" w:rsidRPr="00E41885" w:rsidRDefault="004A5A1C" w:rsidP="00F01878">
            <w:pPr>
              <w:jc w:val="both"/>
            </w:pPr>
            <w:r w:rsidRPr="00E41885">
              <w:t>1.Barbitürat (fenobarbital)</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r>
      <w:tr w:rsidR="004A5A1C" w:rsidRPr="00E41885" w:rsidTr="00E41885">
        <w:tc>
          <w:tcPr>
            <w:tcW w:w="2159" w:type="dxa"/>
          </w:tcPr>
          <w:p w:rsidR="004A5A1C" w:rsidRPr="00E41885" w:rsidRDefault="004A5A1C" w:rsidP="00F01878">
            <w:pPr>
              <w:jc w:val="both"/>
            </w:pPr>
            <w:r w:rsidRPr="00E41885">
              <w:t>2.Benzodiazepin</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r>
      <w:tr w:rsidR="004A5A1C" w:rsidRPr="00E41885" w:rsidTr="00E41885">
        <w:tc>
          <w:tcPr>
            <w:tcW w:w="2159" w:type="dxa"/>
          </w:tcPr>
          <w:p w:rsidR="004A5A1C" w:rsidRPr="00E41885" w:rsidRDefault="004A5A1C" w:rsidP="00F01878">
            <w:pPr>
              <w:jc w:val="both"/>
            </w:pPr>
            <w:r w:rsidRPr="00E41885">
              <w:t>3.Etosüksemid</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r>
      <w:tr w:rsidR="004A5A1C" w:rsidRPr="00E41885" w:rsidTr="00E41885">
        <w:tc>
          <w:tcPr>
            <w:tcW w:w="2159" w:type="dxa"/>
          </w:tcPr>
          <w:p w:rsidR="004A5A1C" w:rsidRPr="00E41885" w:rsidRDefault="004A5A1C" w:rsidP="00F01878">
            <w:pPr>
              <w:jc w:val="both"/>
            </w:pPr>
            <w:r w:rsidRPr="00E41885">
              <w:t>4.Felbamat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r>
      <w:tr w:rsidR="004A5A1C" w:rsidRPr="00E41885" w:rsidTr="00E41885">
        <w:tc>
          <w:tcPr>
            <w:tcW w:w="2159" w:type="dxa"/>
          </w:tcPr>
          <w:p w:rsidR="004A5A1C" w:rsidRPr="00E41885" w:rsidRDefault="004A5A1C" w:rsidP="00F01878">
            <w:pPr>
              <w:jc w:val="both"/>
            </w:pPr>
            <w:r w:rsidRPr="00E41885">
              <w:t>5.Fenitoin</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r>
      <w:tr w:rsidR="004A5A1C" w:rsidRPr="00E41885" w:rsidTr="00E41885">
        <w:tc>
          <w:tcPr>
            <w:tcW w:w="2159" w:type="dxa"/>
          </w:tcPr>
          <w:p w:rsidR="004A5A1C" w:rsidRPr="00E41885" w:rsidRDefault="004A5A1C" w:rsidP="00F01878">
            <w:pPr>
              <w:jc w:val="both"/>
            </w:pPr>
            <w:r w:rsidRPr="00E41885">
              <w:t>6.Gabapentin</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r>
      <w:tr w:rsidR="004A5A1C" w:rsidRPr="00E41885" w:rsidTr="00E41885">
        <w:tc>
          <w:tcPr>
            <w:tcW w:w="2159" w:type="dxa"/>
          </w:tcPr>
          <w:p w:rsidR="004A5A1C" w:rsidRPr="00E41885" w:rsidRDefault="004A5A1C" w:rsidP="00F01878">
            <w:pPr>
              <w:jc w:val="both"/>
            </w:pPr>
            <w:r w:rsidRPr="00E41885">
              <w:t>7.Karbamazepin</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r>
      <w:tr w:rsidR="004A5A1C" w:rsidRPr="00E41885" w:rsidTr="00E41885">
        <w:tc>
          <w:tcPr>
            <w:tcW w:w="2159" w:type="dxa"/>
          </w:tcPr>
          <w:p w:rsidR="004A5A1C" w:rsidRPr="00E41885" w:rsidRDefault="004A5A1C" w:rsidP="00F01878">
            <w:pPr>
              <w:jc w:val="both"/>
            </w:pPr>
            <w:r w:rsidRPr="00E41885">
              <w:t>8.Lamotrigin</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 xml:space="preserve"> +</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r>
      <w:tr w:rsidR="004A5A1C" w:rsidRPr="00E41885" w:rsidTr="00E41885">
        <w:tc>
          <w:tcPr>
            <w:tcW w:w="2159" w:type="dxa"/>
          </w:tcPr>
          <w:p w:rsidR="004A5A1C" w:rsidRPr="00E41885" w:rsidRDefault="004A5A1C" w:rsidP="00F01878">
            <w:pPr>
              <w:jc w:val="both"/>
            </w:pPr>
            <w:r w:rsidRPr="00E41885">
              <w:t>9. Levetirasetam</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r>
      <w:tr w:rsidR="004A5A1C" w:rsidRPr="00E41885" w:rsidTr="00E41885">
        <w:tc>
          <w:tcPr>
            <w:tcW w:w="2159" w:type="dxa"/>
          </w:tcPr>
          <w:p w:rsidR="004A5A1C" w:rsidRPr="00E41885" w:rsidRDefault="004A5A1C" w:rsidP="00F01878">
            <w:pPr>
              <w:jc w:val="both"/>
            </w:pPr>
            <w:r w:rsidRPr="00E41885">
              <w:t>10.Okskarbazepin</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sym w:font="Symbol" w:char="F0B1"/>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r>
      <w:tr w:rsidR="004A5A1C" w:rsidRPr="00E41885" w:rsidTr="00E41885">
        <w:tc>
          <w:tcPr>
            <w:tcW w:w="2159" w:type="dxa"/>
          </w:tcPr>
          <w:p w:rsidR="004A5A1C" w:rsidRPr="00E41885" w:rsidRDefault="004A5A1C" w:rsidP="00F01878">
            <w:pPr>
              <w:jc w:val="both"/>
            </w:pPr>
            <w:r w:rsidRPr="00E41885">
              <w:t>11.Primidon</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r>
      <w:tr w:rsidR="004A5A1C" w:rsidRPr="00E41885" w:rsidTr="00E41885">
        <w:tc>
          <w:tcPr>
            <w:tcW w:w="2159" w:type="dxa"/>
          </w:tcPr>
          <w:p w:rsidR="004A5A1C" w:rsidRPr="00E41885" w:rsidRDefault="004A5A1C" w:rsidP="00F01878">
            <w:pPr>
              <w:jc w:val="both"/>
            </w:pPr>
            <w:r w:rsidRPr="00E41885">
              <w:t>12.Tiagabin</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r>
      <w:tr w:rsidR="004A5A1C" w:rsidRPr="00E41885" w:rsidTr="00E41885">
        <w:tc>
          <w:tcPr>
            <w:tcW w:w="2159" w:type="dxa"/>
          </w:tcPr>
          <w:p w:rsidR="004A5A1C" w:rsidRPr="00E41885" w:rsidRDefault="004A5A1C" w:rsidP="00F01878">
            <w:pPr>
              <w:jc w:val="both"/>
            </w:pPr>
            <w:r w:rsidRPr="00E41885">
              <w:t>13.Trimetadion</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p>
        </w:tc>
        <w:tc>
          <w:tcPr>
            <w:tcW w:w="900" w:type="dxa"/>
          </w:tcPr>
          <w:p w:rsidR="004A5A1C" w:rsidRPr="00E41885" w:rsidRDefault="004A5A1C" w:rsidP="00F01878">
            <w:pPr>
              <w:jc w:val="both"/>
            </w:pP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p>
        </w:tc>
      </w:tr>
      <w:tr w:rsidR="004A5A1C" w:rsidRPr="00E41885" w:rsidTr="00E41885">
        <w:tc>
          <w:tcPr>
            <w:tcW w:w="2159" w:type="dxa"/>
          </w:tcPr>
          <w:p w:rsidR="004A5A1C" w:rsidRPr="00E41885" w:rsidRDefault="004A5A1C" w:rsidP="00F01878">
            <w:pPr>
              <w:jc w:val="both"/>
            </w:pPr>
            <w:r w:rsidRPr="00E41885">
              <w:t>14.Topiramat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sym w:font="Symbol" w:char="F0B1"/>
            </w:r>
          </w:p>
        </w:tc>
        <w:tc>
          <w:tcPr>
            <w:tcW w:w="720" w:type="dxa"/>
          </w:tcPr>
          <w:p w:rsidR="004A5A1C" w:rsidRPr="00E41885" w:rsidRDefault="004A5A1C" w:rsidP="00F01878">
            <w:pPr>
              <w:jc w:val="both"/>
            </w:pPr>
            <w:r w:rsidRPr="00E41885">
              <w:t>+</w:t>
            </w:r>
          </w:p>
        </w:tc>
      </w:tr>
      <w:tr w:rsidR="004A5A1C" w:rsidRPr="00E41885" w:rsidTr="00E41885">
        <w:tc>
          <w:tcPr>
            <w:tcW w:w="2159" w:type="dxa"/>
          </w:tcPr>
          <w:p w:rsidR="004A5A1C" w:rsidRPr="00E41885" w:rsidRDefault="004A5A1C" w:rsidP="00F01878">
            <w:pPr>
              <w:jc w:val="both"/>
            </w:pPr>
            <w:r w:rsidRPr="00E41885">
              <w:t>15.Valproat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r>
      <w:tr w:rsidR="004A5A1C" w:rsidRPr="00E41885" w:rsidTr="00E41885">
        <w:tc>
          <w:tcPr>
            <w:tcW w:w="2159" w:type="dxa"/>
          </w:tcPr>
          <w:p w:rsidR="004A5A1C" w:rsidRPr="00E41885" w:rsidRDefault="004A5A1C" w:rsidP="00F01878">
            <w:pPr>
              <w:jc w:val="both"/>
            </w:pPr>
            <w:r w:rsidRPr="00E41885">
              <w:t>16.Vigabatrin</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r>
      <w:tr w:rsidR="004A5A1C" w:rsidRPr="00E41885" w:rsidTr="00E41885">
        <w:tc>
          <w:tcPr>
            <w:tcW w:w="2159" w:type="dxa"/>
          </w:tcPr>
          <w:p w:rsidR="004A5A1C" w:rsidRPr="00E41885" w:rsidRDefault="004A5A1C" w:rsidP="00F01878">
            <w:pPr>
              <w:jc w:val="both"/>
            </w:pPr>
            <w:r w:rsidRPr="00E41885">
              <w:t>17.Zonisamid</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r>
      <w:tr w:rsidR="004A5A1C" w:rsidRPr="00E41885" w:rsidTr="00E41885">
        <w:tc>
          <w:tcPr>
            <w:tcW w:w="2159" w:type="dxa"/>
          </w:tcPr>
          <w:p w:rsidR="004A5A1C" w:rsidRPr="00E41885" w:rsidRDefault="004A5A1C" w:rsidP="00F01878">
            <w:pPr>
              <w:jc w:val="both"/>
            </w:pPr>
            <w:r w:rsidRPr="00E41885">
              <w:t>18-NMDA antagonistleri</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900" w:type="dxa"/>
          </w:tcPr>
          <w:p w:rsidR="004A5A1C" w:rsidRPr="00E41885" w:rsidRDefault="004A5A1C" w:rsidP="00F01878">
            <w:pPr>
              <w:jc w:val="both"/>
            </w:pPr>
            <w:r w:rsidRPr="00E41885">
              <w:t>?</w:t>
            </w:r>
          </w:p>
        </w:tc>
        <w:tc>
          <w:tcPr>
            <w:tcW w:w="720" w:type="dxa"/>
          </w:tcPr>
          <w:p w:rsidR="004A5A1C" w:rsidRPr="00E41885" w:rsidRDefault="004A5A1C" w:rsidP="00F01878">
            <w:pPr>
              <w:jc w:val="both"/>
            </w:pPr>
            <w:r w:rsidRPr="00E41885">
              <w:t>?</w:t>
            </w:r>
          </w:p>
        </w:tc>
      </w:tr>
    </w:tbl>
    <w:p w:rsidR="00E41885" w:rsidRPr="00E41885" w:rsidRDefault="00E41885" w:rsidP="004A5A1C">
      <w:pPr>
        <w:spacing w:line="240" w:lineRule="atLeast"/>
        <w:jc w:val="both"/>
      </w:pPr>
    </w:p>
    <w:p w:rsidR="004A5A1C" w:rsidRPr="00E41885" w:rsidRDefault="004A5A1C" w:rsidP="004A5A1C">
      <w:pPr>
        <w:spacing w:line="240" w:lineRule="atLeast"/>
        <w:jc w:val="both"/>
      </w:pPr>
      <w:r w:rsidRPr="00E41885">
        <w:t xml:space="preserve">AMG: Amigdala; +:inhibisyon; -: etki yok; </w:t>
      </w:r>
      <w:r w:rsidRPr="00E41885">
        <w:sym w:font="Symbol" w:char="F0B1"/>
      </w:r>
      <w:r w:rsidRPr="00E41885">
        <w:t xml:space="preserve">: zayıf etki; MEŞ:Maksimum elektrokonvülsif şok; </w:t>
      </w:r>
      <w:r w:rsidRPr="00E41885">
        <w:sym w:font="Symbol" w:char="F02A"/>
      </w:r>
      <w:r w:rsidRPr="00E41885">
        <w:t>: MEŞden daha az bir etki; ** Uyarı yerinde deşarj  oluşumunu etkilemksizin nöbet yayılmasını engeller; ? veri yok veya elde edilmemiştir; a ve b sırasıyla  kindling’in önlenmesi ve bastırılması.</w:t>
      </w:r>
    </w:p>
    <w:p w:rsidR="004A5A1C" w:rsidRPr="00E41885" w:rsidRDefault="004A5A1C" w:rsidP="004A5A1C">
      <w:pPr>
        <w:jc w:val="both"/>
      </w:pPr>
    </w:p>
    <w:p w:rsidR="004A5A1C" w:rsidRPr="00E41885" w:rsidRDefault="004A5A1C" w:rsidP="004A5A1C">
      <w:pPr>
        <w:jc w:val="both"/>
      </w:pPr>
      <w:r w:rsidRPr="00E41885">
        <w:t>defa, haftada 5 gün ve 21 gün süre ile uygulanır. Skorlama yapılırken hippokampal ve amigdaloid kindling arasındaki bir fark dikkate alınmalıdır. Hippokampus’ta 1. ve 2. faz yerine Wet-dog shake, oral ve yüz otomatizm sözkonusudur. Bu nedenle skorlar aşağıdaki</w:t>
      </w:r>
    </w:p>
    <w:p w:rsidR="004A5A1C" w:rsidRPr="00E41885" w:rsidRDefault="004A5A1C" w:rsidP="004A5A1C">
      <w:pPr>
        <w:jc w:val="both"/>
      </w:pPr>
      <w:r w:rsidRPr="00E41885">
        <w:t>gibi olmalıdır: 1. Wet-dog shaking ile birlikte baş sallama; 2- Wet-dog shaking ile birlikte çiğneme; 3- Unilateral miyoklonus; 4- Belirgin bilateral miyoklonus ve ayakta durma; 5- Eşit nöbet/ayakta durma ve tonik-klonik konvülsiyon ile düşme. Kindling üzerinde etkili olan AEİ’ler parsiyel epilepside etkinlik gösterirler, fakat bu durum generalize tonik-klonik nöbetler için geçerli değildir. Kindling temporal lob epilepsi modeli olarak kullanılır. Klinikte kullanılmakta olan ilaçlar kindling’in önlenmesinde ve giderilmesinde farklı etkinlik sergilerler. Kindling, status epileptikus’da amigdala ve hippokampusun elektriksel uyarılması ve kimyasal olarak pilokarpin ve kainat ile oluşur. Bu durum temporal lob epilepsi hastalarında görülen mezotemporal skleroz benzeri değişikliklere neden olur. Tipik olarak, spontan kendiliğinden devam eden nöbetleri taki</w:t>
      </w:r>
      <w:r w:rsidR="00667E39" w:rsidRPr="00E41885">
        <w:t>p</w:t>
      </w:r>
      <w:r w:rsidRPr="00E41885">
        <w:t xml:space="preserve"> eden 3-</w:t>
      </w:r>
      <w:r w:rsidRPr="00E41885">
        <w:rPr>
          <w:color w:val="000000"/>
        </w:rPr>
        <w:t>4 hafta aradan</w:t>
      </w:r>
      <w:r w:rsidRPr="00E41885">
        <w:rPr>
          <w:color w:val="FF0000"/>
        </w:rPr>
        <w:t xml:space="preserve"> </w:t>
      </w:r>
      <w:r w:rsidRPr="00E41885">
        <w:t xml:space="preserve"> sonra oluşur. Status epileptikus süresi önemlidir ve epilepsi gelişmesini indüklemek için status kesintiye uğratılmamalıdır, böylece fokal ve generalize nöbetler saatlerce devam eder.</w:t>
      </w:r>
    </w:p>
    <w:p w:rsidR="004A5A1C" w:rsidRPr="00E41885" w:rsidRDefault="004A5A1C" w:rsidP="004A5A1C">
      <w:pPr>
        <w:spacing w:line="360" w:lineRule="auto"/>
        <w:jc w:val="both"/>
        <w:rPr>
          <w:b/>
          <w:color w:val="000025"/>
        </w:rPr>
      </w:pPr>
    </w:p>
    <w:p w:rsidR="004A5A1C" w:rsidRPr="00E41885" w:rsidRDefault="004A5A1C" w:rsidP="004A5A1C">
      <w:pPr>
        <w:jc w:val="both"/>
        <w:rPr>
          <w:color w:val="000025"/>
        </w:rPr>
      </w:pPr>
      <w:r w:rsidRPr="00E41885">
        <w:rPr>
          <w:b/>
          <w:color w:val="000025"/>
        </w:rPr>
        <w:t>4. Kainik asid epilepsisi</w:t>
      </w:r>
      <w:r w:rsidRPr="00E41885">
        <w:rPr>
          <w:color w:val="000025"/>
        </w:rPr>
        <w:t>: Kainat 5-8 mg/kg i.p. veya 9-10 mg/s.c. verildikte</w:t>
      </w:r>
      <w:r w:rsidR="003C2042" w:rsidRPr="00E41885">
        <w:rPr>
          <w:color w:val="000025"/>
        </w:rPr>
        <w:t>n</w:t>
      </w:r>
      <w:r w:rsidRPr="00E41885">
        <w:rPr>
          <w:color w:val="000025"/>
        </w:rPr>
        <w:t xml:space="preserve"> 30-45 dak sonra limbik nöbetler değerlendirilir. Mortaliteyi azaltmak için status epileptikus gelişenlerde epilepsi geliştikten 45-60 dak sonra diazepam 10 mg/kg i.p verilir. Temporal lob epilepsi modeli olarak kullanımı önerilmiştir.</w:t>
      </w:r>
      <w:r w:rsidRPr="00E41885">
        <w:rPr>
          <w:vertAlign w:val="superscript"/>
        </w:rPr>
        <w:t xml:space="preserve"> </w:t>
      </w:r>
      <w:r w:rsidRPr="00E41885">
        <w:rPr>
          <w:color w:val="000025"/>
        </w:rPr>
        <w:t xml:space="preserve"> </w:t>
      </w:r>
    </w:p>
    <w:p w:rsidR="004A5A1C" w:rsidRPr="00E41885" w:rsidRDefault="004A5A1C" w:rsidP="004A5A1C">
      <w:pPr>
        <w:jc w:val="both"/>
        <w:rPr>
          <w:b/>
        </w:rPr>
      </w:pPr>
    </w:p>
    <w:p w:rsidR="004A5A1C" w:rsidRPr="00E41885" w:rsidRDefault="004A5A1C" w:rsidP="004A5A1C">
      <w:pPr>
        <w:jc w:val="both"/>
      </w:pPr>
      <w:r w:rsidRPr="00E41885">
        <w:rPr>
          <w:b/>
        </w:rPr>
        <w:t xml:space="preserve">5. Bikükülin modeli: </w:t>
      </w:r>
      <w:r w:rsidRPr="00E41885">
        <w:rPr>
          <w:bCs/>
        </w:rPr>
        <w:t>Bikükülin</w:t>
      </w:r>
      <w:r w:rsidRPr="00E41885">
        <w:rPr>
          <w:bCs/>
          <w:color w:val="000000"/>
        </w:rPr>
        <w:t xml:space="preserve">  elektriksel kindling</w:t>
      </w:r>
      <w:r w:rsidR="003C2042" w:rsidRPr="00E41885">
        <w:rPr>
          <w:bCs/>
          <w:color w:val="000000"/>
        </w:rPr>
        <w:t>’</w:t>
      </w:r>
      <w:r w:rsidRPr="00E41885">
        <w:rPr>
          <w:bCs/>
          <w:color w:val="000000"/>
        </w:rPr>
        <w:t>de birinci dozda kindling</w:t>
      </w:r>
      <w:r w:rsidR="003C2042" w:rsidRPr="00E41885">
        <w:rPr>
          <w:bCs/>
          <w:color w:val="000000"/>
        </w:rPr>
        <w:t>’</w:t>
      </w:r>
      <w:r w:rsidRPr="00E41885">
        <w:rPr>
          <w:bCs/>
          <w:color w:val="000000"/>
        </w:rPr>
        <w:t xml:space="preserve">e yol açar (kontrolde 3-7 doz sonra). </w:t>
      </w:r>
      <w:r w:rsidRPr="00E41885">
        <w:rPr>
          <w:bCs/>
        </w:rPr>
        <w:t xml:space="preserve">Ayrıca biküküllin </w:t>
      </w:r>
      <w:r w:rsidRPr="00E41885">
        <w:t xml:space="preserve">1.5-8 mg/kg i.p. 5 doz, </w:t>
      </w:r>
      <w:r w:rsidRPr="00E41885">
        <w:rPr>
          <w:color w:val="000000"/>
        </w:rPr>
        <w:t>20 nmol/0.2 μl i.c.v./sıçan ve 4 nmol</w:t>
      </w:r>
      <w:r w:rsidRPr="00E41885">
        <w:t>/0.2</w:t>
      </w:r>
      <w:r w:rsidRPr="00E41885">
        <w:rPr>
          <w:color w:val="FF0000"/>
        </w:rPr>
        <w:t> </w:t>
      </w:r>
      <w:r w:rsidRPr="00E41885">
        <w:t>μl intrahippokampus/ sıçan  tüm sıçanlarda nöbetlere neden olduğu saptanmıştır</w:t>
      </w:r>
      <w:r w:rsidRPr="00E41885">
        <w:rPr>
          <w:bCs/>
          <w:color w:val="000000"/>
        </w:rPr>
        <w:t>.</w:t>
      </w:r>
      <w:r w:rsidRPr="00E41885">
        <w:rPr>
          <w:vertAlign w:val="superscript"/>
        </w:rPr>
        <w:t xml:space="preserve"> </w:t>
      </w:r>
    </w:p>
    <w:p w:rsidR="004A5A1C" w:rsidRPr="00E41885" w:rsidRDefault="004A5A1C" w:rsidP="004A5A1C">
      <w:pPr>
        <w:jc w:val="both"/>
      </w:pPr>
    </w:p>
    <w:p w:rsidR="004A5A1C" w:rsidRPr="00E41885" w:rsidRDefault="004A5A1C" w:rsidP="004A5A1C">
      <w:pPr>
        <w:jc w:val="both"/>
      </w:pPr>
      <w:r w:rsidRPr="00E41885">
        <w:rPr>
          <w:b/>
        </w:rPr>
        <w:t xml:space="preserve">6. </w:t>
      </w:r>
      <w:r w:rsidRPr="00E41885">
        <w:rPr>
          <w:b/>
        </w:rPr>
        <w:sym w:font="Symbol" w:char="F067"/>
      </w:r>
      <w:r w:rsidRPr="00E41885">
        <w:rPr>
          <w:b/>
        </w:rPr>
        <w:t>-Benzin heksaklorür (Lindan)</w:t>
      </w:r>
      <w:r w:rsidRPr="00E41885">
        <w:t>: Sinir sistemindeki kindling hızlandırıcı eşik değeri 0.4</w:t>
      </w:r>
      <w:r w:rsidRPr="00E41885">
        <w:rPr>
          <w:vertAlign w:val="superscript"/>
        </w:rPr>
        <w:t xml:space="preserve"> </w:t>
      </w:r>
      <w:r w:rsidRPr="00E41885">
        <w:t>µg/g (1.4 x 10</w:t>
      </w:r>
      <w:r w:rsidRPr="00E41885">
        <w:rPr>
          <w:vertAlign w:val="superscript"/>
        </w:rPr>
        <w:t>–9</w:t>
      </w:r>
      <w:r w:rsidRPr="00E41885">
        <w:t xml:space="preserve"> mol/g) olarak kaydedilmiştir. </w:t>
      </w:r>
    </w:p>
    <w:p w:rsidR="004A5A1C" w:rsidRPr="00E41885" w:rsidRDefault="004A5A1C" w:rsidP="004A5A1C">
      <w:pPr>
        <w:jc w:val="both"/>
      </w:pPr>
    </w:p>
    <w:p w:rsidR="004A5A1C" w:rsidRPr="00E41885" w:rsidRDefault="004A5A1C" w:rsidP="004A5A1C">
      <w:pPr>
        <w:jc w:val="both"/>
        <w:rPr>
          <w:color w:val="000000"/>
        </w:rPr>
      </w:pPr>
      <w:r w:rsidRPr="00E41885">
        <w:rPr>
          <w:b/>
        </w:rPr>
        <w:t xml:space="preserve">7. Genetik epilepsi modelleri: </w:t>
      </w:r>
      <w:r w:rsidRPr="00E41885">
        <w:t xml:space="preserve">Spontane ve indüklenmiş olarak iki tipe  ayrılır. Spontane tipi refleksif (sensör </w:t>
      </w:r>
      <w:r w:rsidR="003C2042" w:rsidRPr="00E41885">
        <w:t>işitsel</w:t>
      </w:r>
      <w:r w:rsidRPr="00E41885">
        <w:t xml:space="preserve">  uyarı ile oluşturulur) ve tekrarlayan nöbetler olmak üzere ikiye ayrılır. İndüklenmiş epilepsi transgenik veya kockout ile elde edilir. KCNQ2 ve  KCNQ3 subüniteleri nöronal M-tipi potasyum kanalının yapısınıda yer alır. M-tipi kanallar beynin nöbetlerle ilgili olan bölgelerinde yer alır ve inhibitör rol oynar. Mutasyonunda, bu inhibitör rol yok olur  ve nöbetler ortaya çıkar.  KCNQ2 ve  KCNQ3 delesyonunu  hedef alan  spontane veya transgenik fare modelleri epilepsi çalışmalarında kullanılır. Spontane modeli (Genetic Absence Epilepsy Rat from Strabourg, GARES gibi) farmakolojik çalışmalarda kullanılırken, mutasyon ile indüklenmiş model ilaç araştırmalarında pek fazla kullanılmaz, çünkü genetik modeller </w:t>
      </w:r>
      <w:r w:rsidRPr="00E41885">
        <w:rPr>
          <w:color w:val="000000"/>
        </w:rPr>
        <w:t xml:space="preserve">(parsiyel edinmiş epilepsi modellerine karşın) generalize epilepsi modelleridirler.  </w:t>
      </w:r>
    </w:p>
    <w:p w:rsidR="004A5A1C" w:rsidRPr="00E41885" w:rsidRDefault="004A5A1C" w:rsidP="004A5A1C">
      <w:pPr>
        <w:jc w:val="both"/>
      </w:pPr>
    </w:p>
    <w:p w:rsidR="004A5A1C" w:rsidRPr="00E41885" w:rsidRDefault="004A5A1C" w:rsidP="004A5A1C">
      <w:pPr>
        <w:jc w:val="both"/>
      </w:pPr>
      <w:r w:rsidRPr="00E41885">
        <w:rPr>
          <w:b/>
        </w:rPr>
        <w:t xml:space="preserve">8. Penisilin modeli: </w:t>
      </w:r>
      <w:r w:rsidRPr="00E41885">
        <w:t xml:space="preserve">Sıçanlarda Bregma arkası </w:t>
      </w:r>
      <w:smartTag w:uri="urn:schemas-microsoft-com:office:smarttags" w:element="metricconverter">
        <w:smartTagPr>
          <w:attr w:name="ProductID" w:val="2 mm"/>
        </w:smartTagPr>
        <w:r w:rsidRPr="00E41885">
          <w:t>2 mm</w:t>
        </w:r>
      </w:smartTag>
      <w:r w:rsidRPr="00E41885">
        <w:t xml:space="preserve">, lateral </w:t>
      </w:r>
      <w:smartTag w:uri="urn:schemas-microsoft-com:office:smarttags" w:element="metricconverter">
        <w:smartTagPr>
          <w:attr w:name="ProductID" w:val="2 mm"/>
        </w:smartTagPr>
        <w:r w:rsidRPr="00E41885">
          <w:t>2 mm</w:t>
        </w:r>
      </w:smartTag>
      <w:r w:rsidRPr="00E41885">
        <w:t xml:space="preserve"> ve kafa tası yüzeyinde </w:t>
      </w:r>
      <w:smartTag w:uri="urn:schemas-microsoft-com:office:smarttags" w:element="metricconverter">
        <w:smartTagPr>
          <w:attr w:name="ProductID" w:val="2 mm"/>
        </w:smartTagPr>
        <w:r w:rsidRPr="00E41885">
          <w:t>2 mm</w:t>
        </w:r>
      </w:smartTag>
      <w:r w:rsidRPr="00E41885">
        <w:t xml:space="preserve"> aşağı Penisilin G 500 IU/2</w:t>
      </w:r>
      <w:r w:rsidRPr="00E41885">
        <w:sym w:font="Symbol" w:char="F06D"/>
      </w:r>
      <w:r w:rsidRPr="00E41885">
        <w:t>L  intrakortikal verildikten</w:t>
      </w:r>
      <w:r w:rsidRPr="00E41885">
        <w:rPr>
          <w:b/>
        </w:rPr>
        <w:t xml:space="preserve"> </w:t>
      </w:r>
      <w:r w:rsidRPr="00E41885">
        <w:t>2-4 dak içinde klonik kasılma ve miyoklonic nöbetler ortaya çıkar, ve daha sonra hiperaktivite (90%), sıçrama (75%), ataksi (55%), dönme (50%), yuvarlanma (50%), kuyruk dikleşmesi (45%), perioral hareketler (55%)  ve çalkalanma (60%) gibi davranışsal değişiklikler de görülebilir.</w:t>
      </w:r>
      <w:r w:rsidRPr="00E41885">
        <w:rPr>
          <w:vertAlign w:val="superscript"/>
        </w:rPr>
        <w:t xml:space="preserve"> </w:t>
      </w:r>
      <w:r w:rsidRPr="00E41885">
        <w:t xml:space="preserve"> </w:t>
      </w:r>
    </w:p>
    <w:p w:rsidR="004A5A1C" w:rsidRPr="00E41885" w:rsidRDefault="004A5A1C" w:rsidP="004A5A1C">
      <w:pPr>
        <w:jc w:val="both"/>
      </w:pPr>
    </w:p>
    <w:p w:rsidR="004A5A1C" w:rsidRPr="00E41885" w:rsidRDefault="004A5A1C" w:rsidP="004A5A1C">
      <w:pPr>
        <w:jc w:val="both"/>
      </w:pPr>
    </w:p>
    <w:p w:rsidR="004A5A1C" w:rsidRPr="00E41885" w:rsidRDefault="004A5A1C" w:rsidP="004A5A1C">
      <w:pPr>
        <w:jc w:val="both"/>
      </w:pPr>
      <w:r w:rsidRPr="00E41885">
        <w:rPr>
          <w:b/>
        </w:rPr>
        <w:t>9. Pilokarpin epilepsisi</w:t>
      </w:r>
      <w:r w:rsidRPr="00E41885">
        <w:t xml:space="preserve">: </w:t>
      </w:r>
    </w:p>
    <w:p w:rsidR="004A5A1C" w:rsidRPr="00E41885" w:rsidRDefault="004A5A1C" w:rsidP="004A5A1C">
      <w:pPr>
        <w:jc w:val="both"/>
      </w:pPr>
      <w:r w:rsidRPr="00E41885">
        <w:t xml:space="preserve">Pilokarpin nöbetleri M1 aracılığı ile ortaya çıkar ve bu nedenle atropin ile önlenir. Fakat ortaya çıktıktan sonra atropin etkisiz kalır çünkü burada hippokampusta glutamat artar ve nöbetler NMDA aktivasyonu sonucu devam eder. </w:t>
      </w:r>
      <w:r w:rsidRPr="00E41885">
        <w:rPr>
          <w:color w:val="000000"/>
        </w:rPr>
        <w:t>Bu nöbetler insandaki kompleks parsiyel epilepsiye ben</w:t>
      </w:r>
      <w:r w:rsidRPr="00E41885">
        <w:t>zer ve temporal lob epilepsi (TLE)  modeli olarak kullanılır. TLE aşağıdaki özelliklere sahiptir:</w:t>
      </w:r>
    </w:p>
    <w:p w:rsidR="004A5A1C" w:rsidRPr="00E41885" w:rsidRDefault="004A5A1C" w:rsidP="004A5A1C">
      <w:pPr>
        <w:jc w:val="both"/>
      </w:pPr>
      <w:r w:rsidRPr="00E41885">
        <w:t>1-Limbik sistemde (HC, EC ve AMG) yer almak,</w:t>
      </w:r>
    </w:p>
    <w:p w:rsidR="004A5A1C" w:rsidRPr="00E41885" w:rsidRDefault="004A5A1C" w:rsidP="004A5A1C">
      <w:pPr>
        <w:jc w:val="both"/>
      </w:pPr>
      <w:r w:rsidRPr="00E41885">
        <w:t>2-TLE’ye yola açan öncü tetikleyici zedelenme,</w:t>
      </w:r>
    </w:p>
    <w:p w:rsidR="004A5A1C" w:rsidRPr="00E41885" w:rsidRDefault="004A5A1C" w:rsidP="004A5A1C">
      <w:pPr>
        <w:jc w:val="both"/>
      </w:pPr>
      <w:r w:rsidRPr="00E41885">
        <w:t xml:space="preserve">3-İkinciyi takip eden nöbetsiz </w:t>
      </w:r>
      <w:r w:rsidR="003C2042" w:rsidRPr="00E41885">
        <w:t>(</w:t>
      </w:r>
      <w:r w:rsidRPr="00E41885">
        <w:t>latant</w:t>
      </w:r>
      <w:r w:rsidR="003C2042" w:rsidRPr="00E41885">
        <w:t>)</w:t>
      </w:r>
      <w:r w:rsidRPr="00E41885">
        <w:t xml:space="preserve"> aralık, </w:t>
      </w:r>
    </w:p>
    <w:p w:rsidR="004A5A1C" w:rsidRPr="00E41885" w:rsidRDefault="004A5A1C" w:rsidP="004A5A1C">
      <w:pPr>
        <w:jc w:val="both"/>
      </w:pPr>
      <w:r w:rsidRPr="00E41885">
        <w:t xml:space="preserve"> 4-Mesial veya CA sklerozu</w:t>
      </w:r>
    </w:p>
    <w:p w:rsidR="004A5A1C" w:rsidRPr="00E41885" w:rsidRDefault="004A5A1C" w:rsidP="004A5A1C">
      <w:pPr>
        <w:jc w:val="both"/>
      </w:pPr>
    </w:p>
    <w:p w:rsidR="004A5A1C" w:rsidRPr="00E41885" w:rsidRDefault="004A5A1C" w:rsidP="004A5A1C">
      <w:pPr>
        <w:jc w:val="both"/>
      </w:pPr>
      <w:r w:rsidRPr="00E41885">
        <w:t>Pilokarpin yüksek dozda (400 mg/kg) %83 oranında epilepsiye neden olsa da bu dozlarda yüksek mortalite söz</w:t>
      </w:r>
      <w:r w:rsidR="003C2042" w:rsidRPr="00E41885">
        <w:t xml:space="preserve"> </w:t>
      </w:r>
      <w:r w:rsidRPr="00E41885">
        <w:t>konusudur (%100). 300 mg/kg da ise mortalite oranı %30-40 olarak kaydedilmiştir. Ayrıca, pilokarpin’in  tekrarlayan düşük dozları ile de epilepsi oluşturulabilir: 200 mg daha sonra 100 mg/kg. Daha düşük dozun (30 mg/kg) bazı ilaçlar ile kombinasyonu da epilepsi oluşturulmasını sağlar: Lityum (3 mEq/kg in 0.1–0.2 ml salin, s.c); pikrotoksin (0.5–2.0 mg/kg, i.p); sikloheksemid (1 mg/kg, s.c); MK-801 ve N omega-nitro-</w:t>
      </w:r>
      <w:r w:rsidRPr="00E41885">
        <w:rPr>
          <w:rStyle w:val="small-caps1"/>
          <w:sz w:val="24"/>
          <w:szCs w:val="24"/>
        </w:rPr>
        <w:t>l</w:t>
      </w:r>
      <w:r w:rsidRPr="00E41885">
        <w:t>-arginin methyl ester (1–125 mg/kg, i.p).</w:t>
      </w:r>
    </w:p>
    <w:p w:rsidR="004A5A1C" w:rsidRPr="00E41885" w:rsidRDefault="004A5A1C" w:rsidP="004A5A1C">
      <w:pPr>
        <w:jc w:val="both"/>
      </w:pPr>
    </w:p>
    <w:p w:rsidR="00E41885" w:rsidRPr="00E41885" w:rsidRDefault="00E41885" w:rsidP="004A5A1C">
      <w:pPr>
        <w:jc w:val="both"/>
      </w:pPr>
    </w:p>
    <w:p w:rsidR="004A5A1C" w:rsidRPr="00E41885" w:rsidRDefault="004A5A1C" w:rsidP="004A5A1C">
      <w:pPr>
        <w:jc w:val="both"/>
      </w:pPr>
      <w:r w:rsidRPr="00E41885">
        <w:t>Pilokarpin-epilepsi özellikleri:</w:t>
      </w:r>
    </w:p>
    <w:p w:rsidR="004A5A1C" w:rsidRPr="00E41885" w:rsidRDefault="004A5A1C" w:rsidP="004A5A1C">
      <w:pPr>
        <w:jc w:val="both"/>
      </w:pPr>
      <w:r w:rsidRPr="00E41885">
        <w:t>1-Hızlı epilepsi oluşumu (ip Kainik asit’ten daha hızlı)</w:t>
      </w:r>
    </w:p>
    <w:p w:rsidR="004A5A1C" w:rsidRPr="00E41885" w:rsidRDefault="004A5A1C" w:rsidP="004A5A1C">
      <w:pPr>
        <w:jc w:val="both"/>
      </w:pPr>
      <w:r w:rsidRPr="00E41885">
        <w:t>2-latent periyodu takiben kronik spontane tekrarlayan nöbetler (SRS)</w:t>
      </w:r>
    </w:p>
    <w:p w:rsidR="004A5A1C" w:rsidRPr="00E41885" w:rsidRDefault="004A5A1C" w:rsidP="004A5A1C">
      <w:pPr>
        <w:jc w:val="both"/>
      </w:pPr>
      <w:r w:rsidRPr="00E41885">
        <w:t>3-yaygın lezyonlar. Bazıları TLE’ye benzer şekilde beynin aynı bölgesinde görülür, HC ve parahippokampus (mossy lif filizlenmesi, internöron kaybı ve ektopik dentat granül hücre proliferasyonu)</w:t>
      </w:r>
    </w:p>
    <w:p w:rsidR="004A5A1C" w:rsidRPr="00E41885" w:rsidRDefault="004A5A1C" w:rsidP="004A5A1C">
      <w:pPr>
        <w:jc w:val="both"/>
      </w:pPr>
      <w:r w:rsidRPr="00E41885">
        <w:t>4-TLE gibi nöbetler antiepileptik ilaçlar (AEİ) ile kontrol altına alınamaz</w:t>
      </w:r>
    </w:p>
    <w:p w:rsidR="004A5A1C" w:rsidRPr="00E41885" w:rsidRDefault="004A5A1C" w:rsidP="004A5A1C">
      <w:pPr>
        <w:jc w:val="both"/>
      </w:pPr>
    </w:p>
    <w:p w:rsidR="004A5A1C" w:rsidRPr="00E41885" w:rsidRDefault="004A5A1C" w:rsidP="004A5A1C">
      <w:pPr>
        <w:jc w:val="both"/>
      </w:pPr>
      <w:r w:rsidRPr="00E41885">
        <w:t>Pilokarpin 400 mg/kg ip verildikten sonra 3 ayrı faz görülür.</w:t>
      </w:r>
    </w:p>
    <w:p w:rsidR="004A5A1C" w:rsidRPr="00E41885" w:rsidRDefault="004A5A1C" w:rsidP="004A5A1C">
      <w:pPr>
        <w:jc w:val="both"/>
      </w:pPr>
      <w:r w:rsidRPr="00E41885">
        <w:t>1. Status epileptikus: 5-6 (24) saat saat belirtiden sonra  1-2 günlük post-iktal koma süresi başlar. Mortalite %30- 40. İlgi EEG değişiklikleri Ek 1 ‘de verilmiştir.</w:t>
      </w:r>
    </w:p>
    <w:p w:rsidR="004A5A1C" w:rsidRPr="00E41885" w:rsidRDefault="004A5A1C" w:rsidP="004A5A1C">
      <w:pPr>
        <w:jc w:val="both"/>
      </w:pPr>
    </w:p>
    <w:p w:rsidR="004A5A1C" w:rsidRPr="00E41885" w:rsidRDefault="004A5A1C" w:rsidP="004A5A1C">
      <w:pPr>
        <w:spacing w:line="360" w:lineRule="auto"/>
        <w:jc w:val="both"/>
      </w:pPr>
      <w:r w:rsidRPr="00E41885">
        <w:rPr>
          <w:noProof/>
          <w:lang w:eastAsia="tr-TR"/>
        </w:rPr>
        <mc:AlternateContent>
          <mc:Choice Requires="wpc">
            <w:drawing>
              <wp:inline distT="0" distB="0" distL="0" distR="0">
                <wp:extent cx="5760720" cy="1740973"/>
                <wp:effectExtent l="0" t="0" r="0" b="0"/>
                <wp:docPr id="22" name="Tuval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4"/>
                        <wps:cNvCnPr>
                          <a:cxnSpLocks noChangeShapeType="1"/>
                        </wps:cNvCnPr>
                        <wps:spPr bwMode="auto">
                          <a:xfrm>
                            <a:off x="246097" y="370153"/>
                            <a:ext cx="516803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 name="Line 5"/>
                        <wps:cNvCnPr>
                          <a:cxnSpLocks noChangeShapeType="1"/>
                        </wps:cNvCnPr>
                        <wps:spPr bwMode="auto">
                          <a:xfrm>
                            <a:off x="935169" y="271719"/>
                            <a:ext cx="0" cy="14765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 name="Line 6"/>
                        <wps:cNvCnPr>
                          <a:cxnSpLocks noChangeShapeType="1"/>
                        </wps:cNvCnPr>
                        <wps:spPr bwMode="auto">
                          <a:xfrm>
                            <a:off x="1870337" y="271719"/>
                            <a:ext cx="0" cy="14765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 name="Line 7"/>
                        <wps:cNvCnPr>
                          <a:cxnSpLocks noChangeShapeType="1"/>
                        </wps:cNvCnPr>
                        <wps:spPr bwMode="auto">
                          <a:xfrm>
                            <a:off x="3691455" y="271719"/>
                            <a:ext cx="0" cy="14765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 name="Line 8"/>
                        <wps:cNvCnPr>
                          <a:cxnSpLocks noChangeShapeType="1"/>
                        </wps:cNvCnPr>
                        <wps:spPr bwMode="auto">
                          <a:xfrm>
                            <a:off x="3100822" y="271719"/>
                            <a:ext cx="0" cy="14765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 name="Line 9"/>
                        <wps:cNvCnPr>
                          <a:cxnSpLocks noChangeShapeType="1"/>
                        </wps:cNvCnPr>
                        <wps:spPr bwMode="auto">
                          <a:xfrm>
                            <a:off x="2411750" y="271719"/>
                            <a:ext cx="0" cy="14765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 name="Line 10"/>
                        <wps:cNvCnPr>
                          <a:cxnSpLocks noChangeShapeType="1"/>
                        </wps:cNvCnPr>
                        <wps:spPr bwMode="auto">
                          <a:xfrm>
                            <a:off x="5414133" y="271719"/>
                            <a:ext cx="0" cy="14765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8" name="Line 11"/>
                        <wps:cNvCnPr>
                          <a:cxnSpLocks noChangeShapeType="1"/>
                        </wps:cNvCnPr>
                        <wps:spPr bwMode="auto">
                          <a:xfrm>
                            <a:off x="4478965" y="271719"/>
                            <a:ext cx="0" cy="14765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9" name="Text Box 12"/>
                        <wps:cNvSpPr txBox="1">
                          <a:spLocks noChangeArrowheads="1"/>
                        </wps:cNvSpPr>
                        <wps:spPr bwMode="auto">
                          <a:xfrm>
                            <a:off x="186624" y="0"/>
                            <a:ext cx="5574096" cy="236857"/>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A1C" w:rsidRPr="004860D3" w:rsidRDefault="004A5A1C" w:rsidP="004A5A1C">
                              <w:pPr>
                                <w:autoSpaceDE w:val="0"/>
                                <w:autoSpaceDN w:val="0"/>
                                <w:adjustRightInd w:val="0"/>
                                <w:rPr>
                                  <w:rFonts w:ascii="Arial" w:hAnsi="Arial" w:cs="Arial"/>
                                  <w:color w:val="000000"/>
                                  <w:sz w:val="23"/>
                                  <w:szCs w:val="36"/>
                                </w:rPr>
                              </w:pPr>
                              <w:r w:rsidRPr="004860D3">
                                <w:rPr>
                                  <w:rFonts w:ascii="Arial" w:hAnsi="Arial" w:cs="Arial"/>
                                  <w:color w:val="000000"/>
                                  <w:sz w:val="23"/>
                                  <w:szCs w:val="36"/>
                                </w:rPr>
                                <w:t>0          5-10                 30         45              60          90              120              150 dak.</w:t>
                              </w:r>
                            </w:p>
                          </w:txbxContent>
                        </wps:txbx>
                        <wps:bodyPr rot="0" vert="horz" wrap="square" lIns="59436" tIns="29718" rIns="59436" bIns="29718" upright="1">
                          <a:noAutofit/>
                        </wps:bodyPr>
                      </wps:wsp>
                      <wps:wsp>
                        <wps:cNvPr id="10" name="Text Box 13"/>
                        <wps:cNvSpPr txBox="1">
                          <a:spLocks noChangeArrowheads="1"/>
                        </wps:cNvSpPr>
                        <wps:spPr bwMode="auto">
                          <a:xfrm>
                            <a:off x="0" y="616238"/>
                            <a:ext cx="678817" cy="47166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A1C" w:rsidRPr="004860D3" w:rsidRDefault="004A5A1C" w:rsidP="004A5A1C">
                              <w:pPr>
                                <w:autoSpaceDE w:val="0"/>
                                <w:autoSpaceDN w:val="0"/>
                                <w:adjustRightInd w:val="0"/>
                                <w:rPr>
                                  <w:rFonts w:ascii="Arial" w:hAnsi="Arial" w:cs="Arial"/>
                                  <w:b/>
                                  <w:bCs/>
                                  <w:color w:val="000000"/>
                                  <w:sz w:val="18"/>
                                  <w:szCs w:val="28"/>
                                </w:rPr>
                              </w:pPr>
                              <w:r w:rsidRPr="004860D3">
                                <w:rPr>
                                  <w:rFonts w:ascii="Arial" w:hAnsi="Arial" w:cs="Arial"/>
                                  <w:b/>
                                  <w:bCs/>
                                  <w:color w:val="000000"/>
                                  <w:sz w:val="18"/>
                                  <w:szCs w:val="28"/>
                                </w:rPr>
                                <w:t>Pilokarpin</w:t>
                              </w:r>
                            </w:p>
                            <w:p w:rsidR="004A5A1C" w:rsidRPr="004860D3" w:rsidRDefault="004A5A1C" w:rsidP="004A5A1C">
                              <w:pPr>
                                <w:autoSpaceDE w:val="0"/>
                                <w:autoSpaceDN w:val="0"/>
                                <w:adjustRightInd w:val="0"/>
                                <w:rPr>
                                  <w:rFonts w:ascii="Arial" w:hAnsi="Arial" w:cs="Arial"/>
                                  <w:b/>
                                  <w:bCs/>
                                  <w:color w:val="000000"/>
                                  <w:sz w:val="18"/>
                                  <w:szCs w:val="28"/>
                                </w:rPr>
                              </w:pPr>
                              <w:r w:rsidRPr="004860D3">
                                <w:rPr>
                                  <w:rFonts w:ascii="Arial" w:hAnsi="Arial" w:cs="Arial"/>
                                  <w:b/>
                                  <w:bCs/>
                                  <w:color w:val="000000"/>
                                  <w:sz w:val="18"/>
                                  <w:szCs w:val="28"/>
                                </w:rPr>
                                <w:t>400 mg/kg</w:t>
                              </w:r>
                            </w:p>
                            <w:p w:rsidR="004A5A1C" w:rsidRPr="004860D3" w:rsidRDefault="004A5A1C" w:rsidP="004A5A1C">
                              <w:pPr>
                                <w:autoSpaceDE w:val="0"/>
                                <w:autoSpaceDN w:val="0"/>
                                <w:adjustRightInd w:val="0"/>
                                <w:rPr>
                                  <w:rFonts w:ascii="Arial" w:hAnsi="Arial" w:cs="Arial"/>
                                  <w:b/>
                                  <w:bCs/>
                                  <w:color w:val="000000"/>
                                  <w:sz w:val="18"/>
                                  <w:szCs w:val="28"/>
                                </w:rPr>
                              </w:pPr>
                              <w:r w:rsidRPr="004860D3">
                                <w:rPr>
                                  <w:rFonts w:ascii="Arial" w:hAnsi="Arial" w:cs="Arial"/>
                                  <w:b/>
                                  <w:bCs/>
                                  <w:color w:val="000000"/>
                                  <w:sz w:val="18"/>
                                  <w:szCs w:val="28"/>
                                </w:rPr>
                                <w:t xml:space="preserve">     ip</w:t>
                              </w:r>
                            </w:p>
                          </w:txbxContent>
                        </wps:txbx>
                        <wps:bodyPr rot="0" vert="horz" wrap="square" lIns="59436" tIns="29718" rIns="59436" bIns="29718" upright="1">
                          <a:noAutofit/>
                        </wps:bodyPr>
                      </wps:wsp>
                      <wps:wsp>
                        <wps:cNvPr id="11" name="Text Box 14"/>
                        <wps:cNvSpPr txBox="1">
                          <a:spLocks noChangeArrowheads="1"/>
                        </wps:cNvSpPr>
                        <wps:spPr bwMode="auto">
                          <a:xfrm>
                            <a:off x="832628" y="477815"/>
                            <a:ext cx="200979" cy="236857"/>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A1C" w:rsidRPr="004860D3" w:rsidRDefault="004A5A1C" w:rsidP="004A5A1C">
                              <w:pPr>
                                <w:autoSpaceDE w:val="0"/>
                                <w:autoSpaceDN w:val="0"/>
                                <w:adjustRightInd w:val="0"/>
                                <w:rPr>
                                  <w:rFonts w:ascii="Arial" w:hAnsi="Arial" w:cs="Arial"/>
                                  <w:color w:val="000000"/>
                                  <w:sz w:val="23"/>
                                  <w:szCs w:val="36"/>
                                </w:rPr>
                              </w:pPr>
                              <w:r w:rsidRPr="004860D3">
                                <w:rPr>
                                  <w:rFonts w:ascii="Arial" w:hAnsi="Arial" w:cs="Arial"/>
                                  <w:color w:val="000000"/>
                                  <w:sz w:val="23"/>
                                  <w:szCs w:val="36"/>
                                </w:rPr>
                                <w:t>1</w:t>
                              </w:r>
                            </w:p>
                          </w:txbxContent>
                        </wps:txbx>
                        <wps:bodyPr rot="0" vert="horz" wrap="square" lIns="59436" tIns="29718" rIns="59436" bIns="29718" upright="1">
                          <a:noAutofit/>
                        </wps:bodyPr>
                      </wps:wsp>
                      <wps:wsp>
                        <wps:cNvPr id="12" name="Line 15"/>
                        <wps:cNvCnPr>
                          <a:cxnSpLocks noChangeShapeType="1"/>
                        </wps:cNvCnPr>
                        <wps:spPr bwMode="auto">
                          <a:xfrm flipV="1">
                            <a:off x="1033607" y="800290"/>
                            <a:ext cx="1366864" cy="12304"/>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6"/>
                        <wps:cNvCnPr>
                          <a:cxnSpLocks noChangeShapeType="1"/>
                        </wps:cNvCnPr>
                        <wps:spPr bwMode="auto">
                          <a:xfrm flipV="1">
                            <a:off x="2411750" y="800290"/>
                            <a:ext cx="217386" cy="12304"/>
                          </a:xfrm>
                          <a:prstGeom prst="line">
                            <a:avLst/>
                          </a:prstGeom>
                          <a:noFill/>
                          <a:ln w="2857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4" name="Line 17"/>
                        <wps:cNvCnPr>
                          <a:cxnSpLocks noChangeShapeType="1"/>
                        </wps:cNvCnPr>
                        <wps:spPr bwMode="auto">
                          <a:xfrm>
                            <a:off x="1821118" y="960758"/>
                            <a:ext cx="2707067"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8"/>
                        <wps:cNvCnPr>
                          <a:cxnSpLocks noChangeShapeType="1"/>
                        </wps:cNvCnPr>
                        <wps:spPr bwMode="auto">
                          <a:xfrm>
                            <a:off x="4478965" y="960758"/>
                            <a:ext cx="885949" cy="0"/>
                          </a:xfrm>
                          <a:prstGeom prst="line">
                            <a:avLst/>
                          </a:prstGeom>
                          <a:noFill/>
                          <a:ln w="2857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6" name="Line 19"/>
                        <wps:cNvCnPr>
                          <a:cxnSpLocks noChangeShapeType="1"/>
                        </wps:cNvCnPr>
                        <wps:spPr bwMode="auto">
                          <a:xfrm>
                            <a:off x="3100822" y="1108409"/>
                            <a:ext cx="1476582"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Text Box 20"/>
                        <wps:cNvSpPr txBox="1">
                          <a:spLocks noChangeArrowheads="1"/>
                        </wps:cNvSpPr>
                        <wps:spPr bwMode="auto">
                          <a:xfrm>
                            <a:off x="836730" y="689039"/>
                            <a:ext cx="200979" cy="236857"/>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A1C" w:rsidRPr="004860D3" w:rsidRDefault="004A5A1C" w:rsidP="004A5A1C">
                              <w:pPr>
                                <w:autoSpaceDE w:val="0"/>
                                <w:autoSpaceDN w:val="0"/>
                                <w:adjustRightInd w:val="0"/>
                                <w:rPr>
                                  <w:rFonts w:ascii="Arial" w:hAnsi="Arial" w:cs="Arial"/>
                                  <w:color w:val="000000"/>
                                  <w:sz w:val="23"/>
                                  <w:szCs w:val="36"/>
                                </w:rPr>
                              </w:pPr>
                              <w:r w:rsidRPr="004860D3">
                                <w:rPr>
                                  <w:rFonts w:ascii="Arial" w:hAnsi="Arial" w:cs="Arial"/>
                                  <w:color w:val="000000"/>
                                  <w:sz w:val="23"/>
                                  <w:szCs w:val="36"/>
                                </w:rPr>
                                <w:t>2</w:t>
                              </w:r>
                            </w:p>
                          </w:txbxContent>
                        </wps:txbx>
                        <wps:bodyPr rot="0" vert="horz" wrap="square" lIns="59436" tIns="29718" rIns="59436" bIns="29718" upright="1">
                          <a:noAutofit/>
                        </wps:bodyPr>
                      </wps:wsp>
                      <wps:wsp>
                        <wps:cNvPr id="18" name="Text Box 21"/>
                        <wps:cNvSpPr txBox="1">
                          <a:spLocks noChangeArrowheads="1"/>
                        </wps:cNvSpPr>
                        <wps:spPr bwMode="auto">
                          <a:xfrm>
                            <a:off x="1575021" y="813107"/>
                            <a:ext cx="200979" cy="236857"/>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A1C" w:rsidRPr="004860D3" w:rsidRDefault="004A5A1C" w:rsidP="004A5A1C">
                              <w:pPr>
                                <w:autoSpaceDE w:val="0"/>
                                <w:autoSpaceDN w:val="0"/>
                                <w:adjustRightInd w:val="0"/>
                                <w:rPr>
                                  <w:rFonts w:ascii="Arial" w:hAnsi="Arial" w:cs="Arial"/>
                                  <w:color w:val="000000"/>
                                  <w:sz w:val="23"/>
                                  <w:szCs w:val="36"/>
                                </w:rPr>
                              </w:pPr>
                              <w:r w:rsidRPr="004860D3">
                                <w:rPr>
                                  <w:rFonts w:ascii="Arial" w:hAnsi="Arial" w:cs="Arial"/>
                                  <w:color w:val="000000"/>
                                  <w:sz w:val="23"/>
                                  <w:szCs w:val="36"/>
                                </w:rPr>
                                <w:t>3</w:t>
                              </w:r>
                            </w:p>
                          </w:txbxContent>
                        </wps:txbx>
                        <wps:bodyPr rot="0" vert="horz" wrap="square" lIns="59436" tIns="29718" rIns="59436" bIns="29718" upright="1">
                          <a:noAutofit/>
                        </wps:bodyPr>
                      </wps:wsp>
                      <wps:wsp>
                        <wps:cNvPr id="19" name="Text Box 22"/>
                        <wps:cNvSpPr txBox="1">
                          <a:spLocks noChangeArrowheads="1"/>
                        </wps:cNvSpPr>
                        <wps:spPr bwMode="auto">
                          <a:xfrm>
                            <a:off x="2953164" y="960758"/>
                            <a:ext cx="200979" cy="236857"/>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A1C" w:rsidRPr="004860D3" w:rsidRDefault="004A5A1C" w:rsidP="004A5A1C">
                              <w:pPr>
                                <w:autoSpaceDE w:val="0"/>
                                <w:autoSpaceDN w:val="0"/>
                                <w:adjustRightInd w:val="0"/>
                                <w:rPr>
                                  <w:rFonts w:ascii="Arial" w:hAnsi="Arial" w:cs="Arial"/>
                                  <w:color w:val="000000"/>
                                  <w:sz w:val="23"/>
                                  <w:szCs w:val="36"/>
                                </w:rPr>
                              </w:pPr>
                              <w:r w:rsidRPr="004860D3">
                                <w:rPr>
                                  <w:rFonts w:ascii="Arial" w:hAnsi="Arial" w:cs="Arial"/>
                                  <w:color w:val="000000"/>
                                  <w:sz w:val="23"/>
                                  <w:szCs w:val="36"/>
                                </w:rPr>
                                <w:t>4</w:t>
                              </w:r>
                            </w:p>
                          </w:txbxContent>
                        </wps:txbx>
                        <wps:bodyPr rot="0" vert="horz" wrap="square" lIns="59436" tIns="29718" rIns="59436" bIns="29718" upright="1">
                          <a:noAutofit/>
                        </wps:bodyPr>
                      </wps:wsp>
                      <wps:wsp>
                        <wps:cNvPr id="20" name="Text Box 23"/>
                        <wps:cNvSpPr txBox="1">
                          <a:spLocks noChangeArrowheads="1"/>
                        </wps:cNvSpPr>
                        <wps:spPr bwMode="auto">
                          <a:xfrm>
                            <a:off x="147658" y="1165829"/>
                            <a:ext cx="5524877" cy="53914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A1C" w:rsidRPr="004860D3" w:rsidRDefault="004A5A1C" w:rsidP="004A5A1C">
                              <w:pPr>
                                <w:autoSpaceDE w:val="0"/>
                                <w:autoSpaceDN w:val="0"/>
                                <w:adjustRightInd w:val="0"/>
                                <w:rPr>
                                  <w:rFonts w:ascii="Arial" w:hAnsi="Arial" w:cs="Arial"/>
                                  <w:color w:val="000000"/>
                                  <w:sz w:val="23"/>
                                  <w:szCs w:val="36"/>
                                </w:rPr>
                              </w:pPr>
                              <w:r w:rsidRPr="004860D3">
                                <w:rPr>
                                  <w:rFonts w:ascii="Arial" w:hAnsi="Arial" w:cs="Arial"/>
                                  <w:color w:val="000000"/>
                                  <w:sz w:val="23"/>
                                  <w:szCs w:val="36"/>
                                </w:rPr>
                                <w:t>1: Hareketsizlik; 2:Orofasiyal-salivasyon-Göz kırpma-Vibrissae tuviç, Esnemek;</w:t>
                              </w:r>
                            </w:p>
                            <w:p w:rsidR="004A5A1C" w:rsidRPr="004860D3" w:rsidRDefault="004A5A1C" w:rsidP="004A5A1C">
                              <w:pPr>
                                <w:autoSpaceDE w:val="0"/>
                                <w:autoSpaceDN w:val="0"/>
                                <w:adjustRightInd w:val="0"/>
                                <w:rPr>
                                  <w:rFonts w:ascii="Arial" w:hAnsi="Arial" w:cs="Arial"/>
                                  <w:color w:val="000000"/>
                                  <w:sz w:val="23"/>
                                  <w:szCs w:val="36"/>
                                </w:rPr>
                              </w:pPr>
                              <w:r w:rsidRPr="004860D3">
                                <w:rPr>
                                  <w:rFonts w:ascii="Arial" w:hAnsi="Arial" w:cs="Arial"/>
                                  <w:color w:val="000000"/>
                                  <w:sz w:val="23"/>
                                  <w:szCs w:val="36"/>
                                </w:rPr>
                                <w:t xml:space="preserve">3:Aralıklı nöbetler; 4:Limbik motor nöbet, aşırı salivasyon, Ayaklanma, Kol klonusu </w:t>
                              </w:r>
                            </w:p>
                            <w:p w:rsidR="004A5A1C" w:rsidRPr="004860D3" w:rsidRDefault="004A5A1C" w:rsidP="004A5A1C">
                              <w:pPr>
                                <w:autoSpaceDE w:val="0"/>
                                <w:autoSpaceDN w:val="0"/>
                                <w:adjustRightInd w:val="0"/>
                                <w:rPr>
                                  <w:rFonts w:ascii="Arial" w:hAnsi="Arial" w:cs="Arial"/>
                                  <w:color w:val="000000"/>
                                  <w:sz w:val="23"/>
                                  <w:szCs w:val="36"/>
                                </w:rPr>
                              </w:pPr>
                              <w:r w:rsidRPr="004860D3">
                                <w:rPr>
                                  <w:rFonts w:ascii="Arial" w:hAnsi="Arial" w:cs="Arial"/>
                                  <w:color w:val="000000"/>
                                  <w:sz w:val="23"/>
                                  <w:szCs w:val="36"/>
                                </w:rPr>
                                <w:t xml:space="preserve">   ve düşme (5-15 dakikada bir,</w:t>
                              </w:r>
                            </w:p>
                            <w:p w:rsidR="004A5A1C" w:rsidRPr="004860D3" w:rsidRDefault="004A5A1C" w:rsidP="004A5A1C">
                              <w:pPr>
                                <w:autoSpaceDE w:val="0"/>
                                <w:autoSpaceDN w:val="0"/>
                                <w:adjustRightInd w:val="0"/>
                                <w:rPr>
                                  <w:rFonts w:ascii="Arial" w:hAnsi="Arial" w:cs="Arial"/>
                                  <w:color w:val="000000"/>
                                  <w:sz w:val="23"/>
                                  <w:szCs w:val="36"/>
                                </w:rPr>
                              </w:pPr>
                              <w:r w:rsidRPr="004860D3">
                                <w:rPr>
                                  <w:rFonts w:ascii="Arial" w:hAnsi="Arial" w:cs="Arial"/>
                                  <w:color w:val="000000"/>
                                  <w:sz w:val="23"/>
                                  <w:szCs w:val="36"/>
                                </w:rPr>
                                <w:t xml:space="preserve">      </w:t>
                              </w:r>
                            </w:p>
                          </w:txbxContent>
                        </wps:txbx>
                        <wps:bodyPr rot="0" vert="horz" wrap="square" lIns="59436" tIns="29718" rIns="59436" bIns="29718" upright="1">
                          <a:noAutofit/>
                        </wps:bodyPr>
                      </wps:wsp>
                      <wps:wsp>
                        <wps:cNvPr id="21" name="AutoShape 24"/>
                        <wps:cNvSpPr>
                          <a:spLocks noChangeArrowheads="1"/>
                        </wps:cNvSpPr>
                        <wps:spPr bwMode="auto">
                          <a:xfrm rot="16200000">
                            <a:off x="147663" y="419368"/>
                            <a:ext cx="196868" cy="98439"/>
                          </a:xfrm>
                          <a:prstGeom prst="notchedRightArrow">
                            <a:avLst>
                              <a:gd name="adj1" fmla="val 50000"/>
                              <a:gd name="adj2" fmla="val 50000"/>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c:wpc>
                  </a:graphicData>
                </a:graphic>
              </wp:inline>
            </w:drawing>
          </mc:Choice>
          <mc:Fallback>
            <w:pict>
              <v:group id="Tuval 22" o:spid="_x0000_s1026" editas="canvas" style="width:453.6pt;height:137.1pt;mso-position-horizontal-relative:char;mso-position-vertical-relative:line" coordsize="57607,17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607;height:17405;visibility:visible;mso-wrap-style:square">
                  <v:fill o:detectmouseclick="t"/>
                  <v:path o:connecttype="none"/>
                </v:shape>
                <v:line id="Line 4" o:spid="_x0000_s1028" style="position:absolute;visibility:visible;mso-wrap-style:square" from="2460,3701" to="54141,3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" strokeweight="2.25pt"/>
                <v:line id="Line 5" o:spid="_x0000_s1029" style="position:absolute;visibility:visible;mso-wrap-style:square" from="9351,2717" to="9351,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" strokeweight="2.25pt"/>
                <v:line id="Line 6" o:spid="_x0000_s1030" style="position:absolute;visibility:visible;mso-wrap-style:square" from="18703,2717" to="18703,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" strokeweight="2.25pt"/>
                <v:line id="Line 7" o:spid="_x0000_s1031" style="position:absolute;visibility:visible;mso-wrap-style:square" from="36914,2717" to="36914,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" strokeweight="2.25pt"/>
                <v:line id="Line 8" o:spid="_x0000_s1032" style="position:absolute;visibility:visible;mso-wrap-style:square" from="31008,2717" to="31008,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" strokeweight="2.25pt"/>
                <v:line id="Line 9" o:spid="_x0000_s1033" style="position:absolute;visibility:visible;mso-wrap-style:square" from="24117,2717" to="24117,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" strokeweight="2.25pt"/>
                <v:line id="Line 10" o:spid="_x0000_s1034" style="position:absolute;visibility:visible;mso-wrap-style:square" from="54141,2717" to="54141,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" strokeweight="2.25pt"/>
                <v:line id="Line 11" o:spid="_x0000_s1035" style="position:absolute;visibility:visible;mso-wrap-style:square" from="44789,2717" to="44789,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" strokeweight="2.25pt"/>
                <v:shapetype id="_x0000_t202" coordsize="21600,21600" o:spt="202" path="m,l,21600r21600,l21600,xe">
                  <v:stroke joinstyle="miter"/>
                  <v:path gradientshapeok="t" o:connecttype="rect"/>
                </v:shapetype>
                <v:shape id="Text Box 12" o:spid="_x0000_s1036" type="#_x0000_t202" style="position:absolute;left:1866;width:55741;height:2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" filled="f" fillcolor="#bbe0e3" stroked="f">
                  <v:textbox inset="4.68pt,2.34pt,4.68pt,2.34pt">
                    <w:txbxContent>
                      <w:p w:rsidR="004A5A1C" w:rsidRPr="004860D3" w:rsidRDefault="004A5A1C" w:rsidP="004A5A1C">
                        <w:pPr>
                          <w:autoSpaceDE w:val="0"/>
                          <w:autoSpaceDN w:val="0"/>
                          <w:adjustRightInd w:val="0"/>
                          <w:rPr>
                            <w:rFonts w:ascii="Arial" w:hAnsi="Arial" w:cs="Arial"/>
                            <w:color w:val="000000"/>
                            <w:sz w:val="23"/>
                            <w:szCs w:val="36"/>
                          </w:rPr>
                        </w:pPr>
                        <w:r w:rsidRPr="004860D3">
                          <w:rPr>
                            <w:rFonts w:ascii="Arial" w:hAnsi="Arial" w:cs="Arial"/>
                            <w:color w:val="000000"/>
                            <w:sz w:val="23"/>
                            <w:szCs w:val="36"/>
                          </w:rPr>
                          <w:t>0          5-10                 30         45              60          90              120              150 dak.</w:t>
                        </w:r>
                      </w:p>
                    </w:txbxContent>
                  </v:textbox>
                </v:shape>
                <v:shape id="Text Box 13" o:spid="_x0000_s1037" type="#_x0000_t202" style="position:absolute;top:6162;width:6788;height:4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" filled="f" fillcolor="#bbe0e3" stroked="f">
                  <v:textbox inset="4.68pt,2.34pt,4.68pt,2.34pt">
                    <w:txbxContent>
                      <w:p w:rsidR="004A5A1C" w:rsidRPr="004860D3" w:rsidRDefault="004A5A1C" w:rsidP="004A5A1C">
                        <w:pPr>
                          <w:autoSpaceDE w:val="0"/>
                          <w:autoSpaceDN w:val="0"/>
                          <w:adjustRightInd w:val="0"/>
                          <w:rPr>
                            <w:rFonts w:ascii="Arial" w:hAnsi="Arial" w:cs="Arial"/>
                            <w:b/>
                            <w:bCs/>
                            <w:color w:val="000000"/>
                            <w:sz w:val="18"/>
                            <w:szCs w:val="28"/>
                          </w:rPr>
                        </w:pPr>
                        <w:r w:rsidRPr="004860D3">
                          <w:rPr>
                            <w:rFonts w:ascii="Arial" w:hAnsi="Arial" w:cs="Arial"/>
                            <w:b/>
                            <w:bCs/>
                            <w:color w:val="000000"/>
                            <w:sz w:val="18"/>
                            <w:szCs w:val="28"/>
                          </w:rPr>
                          <w:t>Pilokarpin</w:t>
                        </w:r>
                      </w:p>
                      <w:p w:rsidR="004A5A1C" w:rsidRPr="004860D3" w:rsidRDefault="004A5A1C" w:rsidP="004A5A1C">
                        <w:pPr>
                          <w:autoSpaceDE w:val="0"/>
                          <w:autoSpaceDN w:val="0"/>
                          <w:adjustRightInd w:val="0"/>
                          <w:rPr>
                            <w:rFonts w:ascii="Arial" w:hAnsi="Arial" w:cs="Arial"/>
                            <w:b/>
                            <w:bCs/>
                            <w:color w:val="000000"/>
                            <w:sz w:val="18"/>
                            <w:szCs w:val="28"/>
                          </w:rPr>
                        </w:pPr>
                        <w:r w:rsidRPr="004860D3">
                          <w:rPr>
                            <w:rFonts w:ascii="Arial" w:hAnsi="Arial" w:cs="Arial"/>
                            <w:b/>
                            <w:bCs/>
                            <w:color w:val="000000"/>
                            <w:sz w:val="18"/>
                            <w:szCs w:val="28"/>
                          </w:rPr>
                          <w:t>400 mg/kg</w:t>
                        </w:r>
                      </w:p>
                      <w:p w:rsidR="004A5A1C" w:rsidRPr="004860D3" w:rsidRDefault="004A5A1C" w:rsidP="004A5A1C">
                        <w:pPr>
                          <w:autoSpaceDE w:val="0"/>
                          <w:autoSpaceDN w:val="0"/>
                          <w:adjustRightInd w:val="0"/>
                          <w:rPr>
                            <w:rFonts w:ascii="Arial" w:hAnsi="Arial" w:cs="Arial"/>
                            <w:b/>
                            <w:bCs/>
                            <w:color w:val="000000"/>
                            <w:sz w:val="18"/>
                            <w:szCs w:val="28"/>
                          </w:rPr>
                        </w:pPr>
                        <w:r w:rsidRPr="004860D3">
                          <w:rPr>
                            <w:rFonts w:ascii="Arial" w:hAnsi="Arial" w:cs="Arial"/>
                            <w:b/>
                            <w:bCs/>
                            <w:color w:val="000000"/>
                            <w:sz w:val="18"/>
                            <w:szCs w:val="28"/>
                          </w:rPr>
                          <w:t xml:space="preserve">     ip</w:t>
                        </w:r>
                      </w:p>
                    </w:txbxContent>
                  </v:textbox>
                </v:shape>
                <v:shape id="Text Box 14" o:spid="_x0000_s1038" type="#_x0000_t202" style="position:absolute;left:8326;top:4778;width:2010;height:2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" filled="f" fillcolor="#bbe0e3" stroked="f">
                  <v:textbox inset="4.68pt,2.34pt,4.68pt,2.34pt">
                    <w:txbxContent>
                      <w:p w:rsidR="004A5A1C" w:rsidRPr="004860D3" w:rsidRDefault="004A5A1C" w:rsidP="004A5A1C">
                        <w:pPr>
                          <w:autoSpaceDE w:val="0"/>
                          <w:autoSpaceDN w:val="0"/>
                          <w:adjustRightInd w:val="0"/>
                          <w:rPr>
                            <w:rFonts w:ascii="Arial" w:hAnsi="Arial" w:cs="Arial"/>
                            <w:color w:val="000000"/>
                            <w:sz w:val="23"/>
                            <w:szCs w:val="36"/>
                          </w:rPr>
                        </w:pPr>
                        <w:r w:rsidRPr="004860D3">
                          <w:rPr>
                            <w:rFonts w:ascii="Arial" w:hAnsi="Arial" w:cs="Arial"/>
                            <w:color w:val="000000"/>
                            <w:sz w:val="23"/>
                            <w:szCs w:val="36"/>
                          </w:rPr>
                          <w:t>1</w:t>
                        </w:r>
                      </w:p>
                    </w:txbxContent>
                  </v:textbox>
                </v:shape>
                <v:line id="Line 15" o:spid="_x0000_s1039" style="position:absolute;flip:y;visibility:visible;mso-wrap-style:square" from="10336,8002" to="24004,8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" strokeweight="2.25pt">
                  <v:stroke endarrow="block"/>
                </v:line>
                <v:line id="Line 16" o:spid="_x0000_s1040" style="position:absolute;flip:y;visibility:visible;mso-wrap-style:square" from="24117,8002" to="26291,8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" strokeweight="2.25pt">
                  <v:stroke dashstyle="1 1" endarrow="block"/>
                </v:line>
                <v:line id="Line 17" o:spid="_x0000_s1041" style="position:absolute;visibility:visible;mso-wrap-style:square" from="18211,9607" to="45281,9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" strokeweight="2.25pt">
                  <v:stroke endarrow="block"/>
                </v:line>
                <v:line id="Line 18" o:spid="_x0000_s1042" style="position:absolute;visibility:visible;mso-wrap-style:square" from="44789,9607" to="53649,9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" strokeweight="2.25pt">
                  <v:stroke dashstyle="1 1" endarrow="block"/>
                </v:line>
                <v:line id="Line 19" o:spid="_x0000_s1043" style="position:absolute;visibility:visible;mso-wrap-style:square" from="31008,11084" to="45774,11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" strokeweight="2.25pt">
                  <v:stroke endarrow="block"/>
                </v:line>
                <v:shape id="Text Box 20" o:spid="_x0000_s1044" type="#_x0000_t202" style="position:absolute;left:8367;top:6890;width:2010;height:2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" filled="f" fillcolor="#bbe0e3" stroked="f">
                  <v:textbox inset="4.68pt,2.34pt,4.68pt,2.34pt">
                    <w:txbxContent>
                      <w:p w:rsidR="004A5A1C" w:rsidRPr="004860D3" w:rsidRDefault="004A5A1C" w:rsidP="004A5A1C">
                        <w:pPr>
                          <w:autoSpaceDE w:val="0"/>
                          <w:autoSpaceDN w:val="0"/>
                          <w:adjustRightInd w:val="0"/>
                          <w:rPr>
                            <w:rFonts w:ascii="Arial" w:hAnsi="Arial" w:cs="Arial"/>
                            <w:color w:val="000000"/>
                            <w:sz w:val="23"/>
                            <w:szCs w:val="36"/>
                          </w:rPr>
                        </w:pPr>
                        <w:r w:rsidRPr="004860D3">
                          <w:rPr>
                            <w:rFonts w:ascii="Arial" w:hAnsi="Arial" w:cs="Arial"/>
                            <w:color w:val="000000"/>
                            <w:sz w:val="23"/>
                            <w:szCs w:val="36"/>
                          </w:rPr>
                          <w:t>2</w:t>
                        </w:r>
                      </w:p>
                    </w:txbxContent>
                  </v:textbox>
                </v:shape>
                <v:shape id="Text Box 21" o:spid="_x0000_s1045" type="#_x0000_t202" style="position:absolute;left:15750;top:8131;width:2010;height:2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" filled="f" fillcolor="#bbe0e3" stroked="f">
                  <v:textbox inset="4.68pt,2.34pt,4.68pt,2.34pt">
                    <w:txbxContent>
                      <w:p w:rsidR="004A5A1C" w:rsidRPr="004860D3" w:rsidRDefault="004A5A1C" w:rsidP="004A5A1C">
                        <w:pPr>
                          <w:autoSpaceDE w:val="0"/>
                          <w:autoSpaceDN w:val="0"/>
                          <w:adjustRightInd w:val="0"/>
                          <w:rPr>
                            <w:rFonts w:ascii="Arial" w:hAnsi="Arial" w:cs="Arial"/>
                            <w:color w:val="000000"/>
                            <w:sz w:val="23"/>
                            <w:szCs w:val="36"/>
                          </w:rPr>
                        </w:pPr>
                        <w:r w:rsidRPr="004860D3">
                          <w:rPr>
                            <w:rFonts w:ascii="Arial" w:hAnsi="Arial" w:cs="Arial"/>
                            <w:color w:val="000000"/>
                            <w:sz w:val="23"/>
                            <w:szCs w:val="36"/>
                          </w:rPr>
                          <w:t>3</w:t>
                        </w:r>
                      </w:p>
                    </w:txbxContent>
                  </v:textbox>
                </v:shape>
                <v:shape id="Text Box 22" o:spid="_x0000_s1046" type="#_x0000_t202" style="position:absolute;left:29531;top:9607;width:2010;height:2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" filled="f" fillcolor="#bbe0e3" stroked="f">
                  <v:textbox inset="4.68pt,2.34pt,4.68pt,2.34pt">
                    <w:txbxContent>
                      <w:p w:rsidR="004A5A1C" w:rsidRPr="004860D3" w:rsidRDefault="004A5A1C" w:rsidP="004A5A1C">
                        <w:pPr>
                          <w:autoSpaceDE w:val="0"/>
                          <w:autoSpaceDN w:val="0"/>
                          <w:adjustRightInd w:val="0"/>
                          <w:rPr>
                            <w:rFonts w:ascii="Arial" w:hAnsi="Arial" w:cs="Arial"/>
                            <w:color w:val="000000"/>
                            <w:sz w:val="23"/>
                            <w:szCs w:val="36"/>
                          </w:rPr>
                        </w:pPr>
                        <w:r w:rsidRPr="004860D3">
                          <w:rPr>
                            <w:rFonts w:ascii="Arial" w:hAnsi="Arial" w:cs="Arial"/>
                            <w:color w:val="000000"/>
                            <w:sz w:val="23"/>
                            <w:szCs w:val="36"/>
                          </w:rPr>
                          <w:t>4</w:t>
                        </w:r>
                      </w:p>
                    </w:txbxContent>
                  </v:textbox>
                </v:shape>
                <v:shape id="Text Box 23" o:spid="_x0000_s1047" type="#_x0000_t202" style="position:absolute;left:1476;top:11658;width:55249;height:5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" filled="f" fillcolor="#bbe0e3" stroked="f">
                  <v:textbox inset="4.68pt,2.34pt,4.68pt,2.34pt">
                    <w:txbxContent>
                      <w:p w:rsidR="004A5A1C" w:rsidRPr="004860D3" w:rsidRDefault="004A5A1C" w:rsidP="004A5A1C">
                        <w:pPr>
                          <w:autoSpaceDE w:val="0"/>
                          <w:autoSpaceDN w:val="0"/>
                          <w:adjustRightInd w:val="0"/>
                          <w:rPr>
                            <w:rFonts w:ascii="Arial" w:hAnsi="Arial" w:cs="Arial"/>
                            <w:color w:val="000000"/>
                            <w:sz w:val="23"/>
                            <w:szCs w:val="36"/>
                          </w:rPr>
                        </w:pPr>
                        <w:r w:rsidRPr="004860D3">
                          <w:rPr>
                            <w:rFonts w:ascii="Arial" w:hAnsi="Arial" w:cs="Arial"/>
                            <w:color w:val="000000"/>
                            <w:sz w:val="23"/>
                            <w:szCs w:val="36"/>
                          </w:rPr>
                          <w:t>1: Hareketsizlik; 2:Orofasiyal-salivasyon-Göz kırpma-Vibrissae tuviç, Esnemek;</w:t>
                        </w:r>
                      </w:p>
                      <w:p w:rsidR="004A5A1C" w:rsidRPr="004860D3" w:rsidRDefault="004A5A1C" w:rsidP="004A5A1C">
                        <w:pPr>
                          <w:autoSpaceDE w:val="0"/>
                          <w:autoSpaceDN w:val="0"/>
                          <w:adjustRightInd w:val="0"/>
                          <w:rPr>
                            <w:rFonts w:ascii="Arial" w:hAnsi="Arial" w:cs="Arial"/>
                            <w:color w:val="000000"/>
                            <w:sz w:val="23"/>
                            <w:szCs w:val="36"/>
                          </w:rPr>
                        </w:pPr>
                        <w:r w:rsidRPr="004860D3">
                          <w:rPr>
                            <w:rFonts w:ascii="Arial" w:hAnsi="Arial" w:cs="Arial"/>
                            <w:color w:val="000000"/>
                            <w:sz w:val="23"/>
                            <w:szCs w:val="36"/>
                          </w:rPr>
                          <w:t xml:space="preserve">3:Aralıklı nöbetler; 4:Limbik motor nöbet, aşırı salivasyon, Ayaklanma, Kol klonusu </w:t>
                        </w:r>
                      </w:p>
                      <w:p w:rsidR="004A5A1C" w:rsidRPr="004860D3" w:rsidRDefault="004A5A1C" w:rsidP="004A5A1C">
                        <w:pPr>
                          <w:autoSpaceDE w:val="0"/>
                          <w:autoSpaceDN w:val="0"/>
                          <w:adjustRightInd w:val="0"/>
                          <w:rPr>
                            <w:rFonts w:ascii="Arial" w:hAnsi="Arial" w:cs="Arial"/>
                            <w:color w:val="000000"/>
                            <w:sz w:val="23"/>
                            <w:szCs w:val="36"/>
                          </w:rPr>
                        </w:pPr>
                        <w:r w:rsidRPr="004860D3">
                          <w:rPr>
                            <w:rFonts w:ascii="Arial" w:hAnsi="Arial" w:cs="Arial"/>
                            <w:color w:val="000000"/>
                            <w:sz w:val="23"/>
                            <w:szCs w:val="36"/>
                          </w:rPr>
                          <w:t xml:space="preserve">   ve düşme (5-15 dakikada bir,</w:t>
                        </w:r>
                      </w:p>
                      <w:p w:rsidR="004A5A1C" w:rsidRPr="004860D3" w:rsidRDefault="004A5A1C" w:rsidP="004A5A1C">
                        <w:pPr>
                          <w:autoSpaceDE w:val="0"/>
                          <w:autoSpaceDN w:val="0"/>
                          <w:adjustRightInd w:val="0"/>
                          <w:rPr>
                            <w:rFonts w:ascii="Arial" w:hAnsi="Arial" w:cs="Arial"/>
                            <w:color w:val="000000"/>
                            <w:sz w:val="23"/>
                            <w:szCs w:val="36"/>
                          </w:rPr>
                        </w:pPr>
                        <w:r w:rsidRPr="004860D3">
                          <w:rPr>
                            <w:rFonts w:ascii="Arial" w:hAnsi="Arial" w:cs="Arial"/>
                            <w:color w:val="000000"/>
                            <w:sz w:val="23"/>
                            <w:szCs w:val="36"/>
                          </w:rPr>
                          <w:t xml:space="preserve">      </w:t>
                        </w:r>
                      </w:p>
                    </w:txbxContent>
                  </v:textbox>
                </v:shape>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AutoShape 24" o:spid="_x0000_s1048" type="#_x0000_t94" style="position:absolute;left:1476;top:4193;width:1969;height:98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" filled="f" fillcolor="#bbe0e3"/>
                <w10:anchorlock/>
              </v:group>
            </w:pict>
          </mc:Fallback>
        </mc:AlternateContent>
      </w:r>
    </w:p>
    <w:p w:rsidR="004A5A1C" w:rsidRPr="00E41885" w:rsidRDefault="004A5A1C" w:rsidP="004A5A1C">
      <w:pPr>
        <w:jc w:val="both"/>
      </w:pPr>
      <w:r w:rsidRPr="00E41885">
        <w:t>Şekil 1. pilokarpin sonrası akut dönemde epileptik belirtilerin ortaya çıkma zamansal şaması.</w:t>
      </w:r>
    </w:p>
    <w:p w:rsidR="004A5A1C" w:rsidRPr="00E41885" w:rsidRDefault="004A5A1C" w:rsidP="004A5A1C">
      <w:pPr>
        <w:jc w:val="both"/>
      </w:pPr>
    </w:p>
    <w:p w:rsidR="004A5A1C" w:rsidRPr="00E41885" w:rsidRDefault="004A5A1C" w:rsidP="004A5A1C">
      <w:pPr>
        <w:jc w:val="both"/>
      </w:pPr>
      <w:r w:rsidRPr="00E41885">
        <w:t xml:space="preserve">2.Latent periyod 1-6 w (14 gün) devam eder, </w:t>
      </w:r>
    </w:p>
    <w:p w:rsidR="004A5A1C" w:rsidRPr="00E41885" w:rsidRDefault="004A5A1C" w:rsidP="004A5A1C">
      <w:pPr>
        <w:jc w:val="both"/>
      </w:pPr>
      <w:r w:rsidRPr="00E41885">
        <w:t xml:space="preserve">3. Kronik periyod: 5-8 günde bir ortalama  2.8 nöbet gözlenir. Bu aşamada iki önemli değişiklik söz konusudur: </w:t>
      </w:r>
    </w:p>
    <w:p w:rsidR="004A5A1C" w:rsidRPr="00E41885" w:rsidRDefault="004A5A1C" w:rsidP="004A5A1C">
      <w:pPr>
        <w:jc w:val="both"/>
      </w:pPr>
      <w:r w:rsidRPr="00E41885">
        <w:t>A-Kronik limbik nöbet</w:t>
      </w:r>
    </w:p>
    <w:p w:rsidR="004A5A1C" w:rsidRPr="00E41885" w:rsidRDefault="004A5A1C" w:rsidP="004A5A1C">
      <w:pPr>
        <w:jc w:val="both"/>
      </w:pPr>
      <w:r w:rsidRPr="00E41885">
        <w:t>1-Sabit bakış 2-otomatizm 3-monolateral önkol klonus</w:t>
      </w:r>
      <w:r w:rsidR="00C13C99" w:rsidRPr="00E41885">
        <w:t>’</w:t>
      </w:r>
      <w:r w:rsidRPr="00E41885">
        <w:t>u 4-bilateral önkol klonusu 5-bilateral önkol klonus</w:t>
      </w:r>
      <w:r w:rsidR="00C13C99" w:rsidRPr="00E41885">
        <w:t>’</w:t>
      </w:r>
      <w:r w:rsidRPr="00E41885">
        <w:t>u ile ayaklanma ve düşme 6-Tonik klonik nöbet.</w:t>
      </w:r>
    </w:p>
    <w:p w:rsidR="004A5A1C" w:rsidRPr="00E41885" w:rsidRDefault="004A5A1C" w:rsidP="004A5A1C">
      <w:pPr>
        <w:jc w:val="both"/>
      </w:pPr>
    </w:p>
    <w:p w:rsidR="004A5A1C" w:rsidRPr="00E41885" w:rsidRDefault="004A5A1C" w:rsidP="004A5A1C">
      <w:pPr>
        <w:jc w:val="both"/>
      </w:pPr>
      <w:r w:rsidRPr="00E41885">
        <w:t>1.-3. parsiyel 7 gün sonra görülür, ve bir gün sonra generalize’ye dönüşür.; 4.-6. sekonder generalize nöbet,</w:t>
      </w:r>
    </w:p>
    <w:p w:rsidR="004A5A1C" w:rsidRPr="00E41885" w:rsidRDefault="004A5A1C" w:rsidP="004A5A1C">
      <w:pPr>
        <w:jc w:val="both"/>
      </w:pPr>
    </w:p>
    <w:p w:rsidR="004A5A1C" w:rsidRPr="00E41885" w:rsidRDefault="004A5A1C" w:rsidP="004A5A1C">
      <w:pPr>
        <w:jc w:val="both"/>
      </w:pPr>
      <w:r w:rsidRPr="00E41885">
        <w:t>B-Limbik nöbetin neden olduğu nöronal  zedelenme</w:t>
      </w:r>
    </w:p>
    <w:p w:rsidR="004A5A1C" w:rsidRPr="00E41885" w:rsidRDefault="004A5A1C" w:rsidP="004A5A1C">
      <w:pPr>
        <w:jc w:val="both"/>
        <w:rPr>
          <w:b/>
        </w:rPr>
      </w:pPr>
      <w:r w:rsidRPr="00E41885">
        <w:rPr>
          <w:b/>
        </w:rPr>
        <w:t>III.Uygulama basamakları</w:t>
      </w:r>
    </w:p>
    <w:p w:rsidR="004A5A1C" w:rsidRPr="00E41885" w:rsidRDefault="004A5A1C" w:rsidP="004A5A1C">
      <w:pPr>
        <w:jc w:val="both"/>
        <w:rPr>
          <w:b/>
        </w:rPr>
      </w:pPr>
      <w:r w:rsidRPr="00E41885">
        <w:rPr>
          <w:b/>
        </w:rPr>
        <w:t>Penisilin epilepsisi</w:t>
      </w:r>
    </w:p>
    <w:p w:rsidR="004A5A1C" w:rsidRPr="00E41885" w:rsidRDefault="004A5A1C" w:rsidP="004A5A1C">
      <w:pPr>
        <w:jc w:val="both"/>
      </w:pPr>
      <w:r w:rsidRPr="00E41885">
        <w:t>1-Denekler (sıçan)Ketamin (90 mg/kg im) ve xylazin (10 mg/kg im) kombinasyonu ile anestezi edilir,</w:t>
      </w:r>
    </w:p>
    <w:p w:rsidR="004A5A1C" w:rsidRPr="00E41885" w:rsidRDefault="004A5A1C" w:rsidP="004A5A1C">
      <w:pPr>
        <w:jc w:val="both"/>
      </w:pPr>
      <w:r w:rsidRPr="00E41885">
        <w:t>2-Stereotax cihazına oturtulur,</w:t>
      </w:r>
    </w:p>
    <w:p w:rsidR="004A5A1C" w:rsidRPr="00E41885" w:rsidRDefault="004A5A1C" w:rsidP="004A5A1C">
      <w:pPr>
        <w:jc w:val="both"/>
      </w:pPr>
      <w:r w:rsidRPr="00E41885">
        <w:t>3-Mikrosirinj kullanarak 500 U penisilin sensör</w:t>
      </w:r>
      <w:r w:rsidR="003C2042" w:rsidRPr="00E41885">
        <w:t>-</w:t>
      </w:r>
      <w:r w:rsidRPr="00E41885">
        <w:t xml:space="preserve">motor kortekse verilir (koordinat bregmadan </w:t>
      </w:r>
      <w:smartTag w:uri="urn:schemas-microsoft-com:office:smarttags" w:element="metricconverter">
        <w:smartTagPr>
          <w:attr w:name="ProductID" w:val="-2 mm"/>
        </w:smartTagPr>
        <w:r w:rsidRPr="00E41885">
          <w:t>-2 mm</w:t>
        </w:r>
      </w:smartTag>
      <w:r w:rsidRPr="00E41885">
        <w:t xml:space="preserve"> ve s</w:t>
      </w:r>
      <w:r w:rsidR="00C13C99" w:rsidRPr="00E41885">
        <w:t>a</w:t>
      </w:r>
      <w:r w:rsidRPr="00E41885">
        <w:t xml:space="preserve">jital sütürden </w:t>
      </w:r>
      <w:smartTag w:uri="urn:schemas-microsoft-com:office:smarttags" w:element="metricconverter">
        <w:smartTagPr>
          <w:attr w:name="ProductID" w:val="2 mm"/>
        </w:smartTagPr>
        <w:r w:rsidRPr="00E41885">
          <w:t>2 mm</w:t>
        </w:r>
      </w:smartTag>
      <w:r w:rsidRPr="00E41885">
        <w:t xml:space="preserve"> dışarıya (sağ veya sol)</w:t>
      </w:r>
    </w:p>
    <w:p w:rsidR="004A5A1C" w:rsidRPr="00E41885" w:rsidRDefault="004A5A1C" w:rsidP="004A5A1C">
      <w:pPr>
        <w:jc w:val="both"/>
      </w:pPr>
      <w:r w:rsidRPr="00E41885">
        <w:t>3-Görülen nöbetler gözlenir ve kaydedilir.</w:t>
      </w:r>
    </w:p>
    <w:p w:rsidR="004A5A1C" w:rsidRPr="00E41885" w:rsidRDefault="004A5A1C" w:rsidP="004A5A1C">
      <w:pPr>
        <w:jc w:val="both"/>
        <w:rPr>
          <w:b/>
        </w:rPr>
      </w:pPr>
      <w:r w:rsidRPr="00E41885">
        <w:rPr>
          <w:b/>
        </w:rPr>
        <w:t>Pilokarpin Epilepsisi:</w:t>
      </w:r>
    </w:p>
    <w:p w:rsidR="004A5A1C" w:rsidRPr="00E41885" w:rsidRDefault="004A5A1C" w:rsidP="004A5A1C">
      <w:pPr>
        <w:jc w:val="both"/>
      </w:pPr>
      <w:r w:rsidRPr="00E41885">
        <w:t>1.Hiyosin butil</w:t>
      </w:r>
      <w:r w:rsidR="003C2042" w:rsidRPr="00E41885">
        <w:t>-</w:t>
      </w:r>
      <w:r w:rsidRPr="00E41885">
        <w:t>bromid 1 mg/kg Sc , 30 dakika sonra</w:t>
      </w:r>
    </w:p>
    <w:p w:rsidR="004A5A1C" w:rsidRPr="00E41885" w:rsidRDefault="004A5A1C" w:rsidP="004A5A1C">
      <w:pPr>
        <w:jc w:val="both"/>
      </w:pPr>
      <w:r w:rsidRPr="00E41885">
        <w:t>2.Pilokarpin 380 mg/kg ip verilir,</w:t>
      </w:r>
    </w:p>
    <w:p w:rsidR="004A5A1C" w:rsidRPr="00E41885" w:rsidRDefault="004A5A1C" w:rsidP="004A5A1C">
      <w:pPr>
        <w:jc w:val="both"/>
      </w:pPr>
      <w:r w:rsidRPr="00E41885">
        <w:t>3.Beklenen ve şekil 1’de verilen belirtiler kaydedilir.</w:t>
      </w:r>
    </w:p>
    <w:p w:rsidR="004A5A1C" w:rsidRPr="00E41885" w:rsidRDefault="004A5A1C" w:rsidP="004A5A1C">
      <w:pPr>
        <w:jc w:val="both"/>
      </w:pPr>
    </w:p>
    <w:p w:rsidR="00B23A62" w:rsidRDefault="004A5A1C" w:rsidP="00E41885">
      <w:pPr>
        <w:jc w:val="both"/>
      </w:pPr>
      <w:r w:rsidRPr="00E41885">
        <w:rPr>
          <w:b/>
        </w:rPr>
        <w:t>IV. Tartışma ve sonuçları değerlendirme</w:t>
      </w:r>
      <w:r w:rsidRPr="00E41885">
        <w:t>: Farklı modellerde epilepsi tipi kaydedilir,  farklı modellerdeki etkinlik  klinikteki antiepileptik etkiyle iliş</w:t>
      </w:r>
      <w:r w:rsidR="003C2042" w:rsidRPr="00E41885">
        <w:t>i</w:t>
      </w:r>
      <w:r w:rsidRPr="00E41885">
        <w:t>klendirilir ve tartışılır.</w:t>
      </w:r>
    </w:p>
    <w:sectPr w:rsidR="00B23A62" w:rsidSect="00E41885">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C19" w:rsidRDefault="00764C19">
      <w:r>
        <w:separator/>
      </w:r>
    </w:p>
  </w:endnote>
  <w:endnote w:type="continuationSeparator" w:id="0">
    <w:p w:rsidR="00764C19" w:rsidRDefault="00764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Segoe UI">
    <w:panose1 w:val="020B0502040204020203"/>
    <w:charset w:val="A2"/>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024" w:rsidRDefault="00667E39" w:rsidP="00DC1942">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610024" w:rsidRDefault="00B1385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024" w:rsidRDefault="00667E39" w:rsidP="00DC1942">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sidR="00B1385C">
      <w:rPr>
        <w:rStyle w:val="SayfaNumaras"/>
        <w:noProof/>
      </w:rPr>
      <w:t>1</w:t>
    </w:r>
    <w:r>
      <w:rPr>
        <w:rStyle w:val="SayfaNumaras"/>
      </w:rPr>
      <w:fldChar w:fldCharType="end"/>
    </w:r>
  </w:p>
  <w:p w:rsidR="00610024" w:rsidRDefault="00B1385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C19" w:rsidRDefault="00764C19">
      <w:r>
        <w:separator/>
      </w:r>
    </w:p>
  </w:footnote>
  <w:footnote w:type="continuationSeparator" w:id="0">
    <w:p w:rsidR="00764C19" w:rsidRDefault="00764C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C4416B"/>
    <w:multiLevelType w:val="hybridMultilevel"/>
    <w:tmpl w:val="990CEEB6"/>
    <w:lvl w:ilvl="0" w:tplc="85D858DE">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A1C"/>
    <w:rsid w:val="003C2042"/>
    <w:rsid w:val="004A5A1C"/>
    <w:rsid w:val="00553CF0"/>
    <w:rsid w:val="00667E39"/>
    <w:rsid w:val="00764C19"/>
    <w:rsid w:val="00AA49BF"/>
    <w:rsid w:val="00B1385C"/>
    <w:rsid w:val="00B23A62"/>
    <w:rsid w:val="00B32999"/>
    <w:rsid w:val="00C13C99"/>
    <w:rsid w:val="00E41885"/>
    <w:rsid w:val="00E432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FB2E2FD"/>
  <w15:chartTrackingRefBased/>
  <w15:docId w15:val="{E33A3B21-CD01-4664-A799-EE3CB0F16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A1C"/>
    <w:pPr>
      <w:spacing w:after="0" w:line="240" w:lineRule="auto"/>
    </w:pPr>
    <w:rPr>
      <w:rFonts w:ascii="Times New Roman" w:eastAsia="MS Mincho" w:hAnsi="Times New Roman" w:cs="Times New Roman"/>
      <w:sz w:val="24"/>
      <w:szCs w:val="24"/>
      <w:lang w:eastAsia="ja-JP"/>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rsid w:val="004A5A1C"/>
    <w:pPr>
      <w:tabs>
        <w:tab w:val="center" w:pos="4536"/>
        <w:tab w:val="right" w:pos="9072"/>
      </w:tabs>
    </w:pPr>
  </w:style>
  <w:style w:type="character" w:customStyle="1" w:styleId="AltBilgiChar">
    <w:name w:val="Alt Bilgi Char"/>
    <w:basedOn w:val="VarsaylanParagrafYazTipi"/>
    <w:link w:val="AltBilgi"/>
    <w:rsid w:val="004A5A1C"/>
    <w:rPr>
      <w:rFonts w:ascii="Times New Roman" w:eastAsia="MS Mincho" w:hAnsi="Times New Roman" w:cs="Times New Roman"/>
      <w:sz w:val="24"/>
      <w:szCs w:val="24"/>
      <w:lang w:eastAsia="ja-JP"/>
    </w:rPr>
  </w:style>
  <w:style w:type="character" w:styleId="SayfaNumaras">
    <w:name w:val="page number"/>
    <w:basedOn w:val="VarsaylanParagrafYazTipi"/>
    <w:rsid w:val="004A5A1C"/>
  </w:style>
  <w:style w:type="character" w:customStyle="1" w:styleId="small-caps1">
    <w:name w:val="small-caps1"/>
    <w:rsid w:val="004A5A1C"/>
    <w:rPr>
      <w:smallCaps/>
      <w:sz w:val="19"/>
      <w:szCs w:val="19"/>
    </w:rPr>
  </w:style>
  <w:style w:type="character" w:customStyle="1" w:styleId="citation-abbreviation2">
    <w:name w:val="citation-abbreviation2"/>
    <w:basedOn w:val="VarsaylanParagrafYazTipi"/>
    <w:rsid w:val="004A5A1C"/>
  </w:style>
  <w:style w:type="character" w:customStyle="1" w:styleId="citation-publication-date">
    <w:name w:val="citation-publication-date"/>
    <w:basedOn w:val="VarsaylanParagrafYazTipi"/>
    <w:rsid w:val="004A5A1C"/>
  </w:style>
  <w:style w:type="character" w:customStyle="1" w:styleId="citation-volume">
    <w:name w:val="citation-volume"/>
    <w:basedOn w:val="VarsaylanParagrafYazTipi"/>
    <w:rsid w:val="004A5A1C"/>
  </w:style>
  <w:style w:type="character" w:customStyle="1" w:styleId="citation-flpages">
    <w:name w:val="citation-flpages"/>
    <w:basedOn w:val="VarsaylanParagrafYazTipi"/>
    <w:rsid w:val="004A5A1C"/>
  </w:style>
  <w:style w:type="paragraph" w:styleId="ListeParagraf">
    <w:name w:val="List Paragraph"/>
    <w:basedOn w:val="Normal"/>
    <w:uiPriority w:val="34"/>
    <w:qFormat/>
    <w:rsid w:val="003C2042"/>
    <w:pPr>
      <w:ind w:left="720"/>
      <w:contextualSpacing/>
    </w:pPr>
  </w:style>
  <w:style w:type="paragraph" w:styleId="BalonMetni">
    <w:name w:val="Balloon Text"/>
    <w:basedOn w:val="Normal"/>
    <w:link w:val="BalonMetniChar"/>
    <w:uiPriority w:val="99"/>
    <w:semiHidden/>
    <w:unhideWhenUsed/>
    <w:rsid w:val="00E41885"/>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41885"/>
    <w:rPr>
      <w:rFonts w:ascii="Segoe UI" w:eastAsia="MS Mincho"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1649</Words>
  <Characters>9402</Characters>
  <Application>Microsoft Office Word</Application>
  <DocSecurity>0</DocSecurity>
  <Lines>78</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eskici_ramazan@hotmail.com</cp:lastModifiedBy>
  <cp:revision>3</cp:revision>
  <cp:lastPrinted>2019-03-11T12:35:00Z</cp:lastPrinted>
  <dcterms:created xsi:type="dcterms:W3CDTF">2019-03-11T12:35:00Z</dcterms:created>
  <dcterms:modified xsi:type="dcterms:W3CDTF">2022-03-02T21:17:00Z</dcterms:modified>
</cp:coreProperties>
</file>