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90" w:type="dxa"/>
        <w:tblInd w:w="-714" w:type="dxa"/>
        <w:tblLook w:val="04A0" w:firstRow="1" w:lastRow="0" w:firstColumn="1" w:lastColumn="0" w:noHBand="0" w:noVBand="1"/>
      </w:tblPr>
      <w:tblGrid>
        <w:gridCol w:w="2977"/>
        <w:gridCol w:w="7513"/>
      </w:tblGrid>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GÖSTERGE KODU</w:t>
            </w:r>
          </w:p>
        </w:tc>
        <w:tc>
          <w:tcPr>
            <w:tcW w:w="7513" w:type="dxa"/>
            <w:vAlign w:val="center"/>
          </w:tcPr>
          <w:p w:rsidR="00E861E0" w:rsidRPr="004D2BA4" w:rsidRDefault="00ED5580" w:rsidP="004D2BA4">
            <w:pPr>
              <w:ind w:right="-251"/>
              <w:rPr>
                <w:rFonts w:ascii="Times New Roman" w:hAnsi="Times New Roman" w:cs="Times New Roman"/>
                <w:sz w:val="24"/>
                <w:szCs w:val="24"/>
              </w:rPr>
            </w:pPr>
            <w:r>
              <w:rPr>
                <w:rFonts w:ascii="Times New Roman" w:hAnsi="Times New Roman" w:cs="Times New Roman"/>
                <w:sz w:val="24"/>
                <w:szCs w:val="24"/>
              </w:rPr>
              <w:t>ADSH.</w:t>
            </w:r>
            <w:r w:rsidR="002367A0">
              <w:rPr>
                <w:rFonts w:ascii="Times New Roman" w:hAnsi="Times New Roman" w:cs="Times New Roman"/>
                <w:sz w:val="24"/>
                <w:szCs w:val="24"/>
              </w:rPr>
              <w:t>GKG10</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GÖSTERGE TANIMI</w:t>
            </w:r>
          </w:p>
        </w:tc>
        <w:tc>
          <w:tcPr>
            <w:tcW w:w="7513" w:type="dxa"/>
            <w:vAlign w:val="center"/>
          </w:tcPr>
          <w:p w:rsidR="00830C2F" w:rsidRPr="000D5BBE" w:rsidRDefault="003E2F37" w:rsidP="004D2BA4">
            <w:pPr>
              <w:rPr>
                <w:rFonts w:ascii="Times New Roman" w:hAnsi="Times New Roman" w:cs="Times New Roman"/>
                <w:sz w:val="24"/>
                <w:szCs w:val="24"/>
              </w:rPr>
            </w:pPr>
            <w:r w:rsidRPr="000D5BBE">
              <w:rPr>
                <w:rFonts w:ascii="Times New Roman" w:hAnsi="Times New Roman" w:cs="Times New Roman"/>
                <w:sz w:val="24"/>
                <w:szCs w:val="24"/>
              </w:rPr>
              <w:t xml:space="preserve">İlgili dönemde </w:t>
            </w:r>
            <w:r w:rsidR="004D2BA4">
              <w:rPr>
                <w:rFonts w:ascii="Times New Roman" w:hAnsi="Times New Roman" w:cs="Times New Roman"/>
                <w:sz w:val="24"/>
                <w:szCs w:val="24"/>
              </w:rPr>
              <w:t>tıbbi süreçlerde çalışan personelin</w:t>
            </w:r>
            <w:r w:rsidR="002367A0">
              <w:rPr>
                <w:rFonts w:ascii="Times New Roman" w:hAnsi="Times New Roman" w:cs="Times New Roman"/>
                <w:sz w:val="24"/>
                <w:szCs w:val="24"/>
              </w:rPr>
              <w:t xml:space="preserve"> kan ve vücut sıvılarına maruz kalma sıklığı, şekli ve nedenlerini saptamaya, konu ile ilgili iyileştirme çalışmalarını gerçekleştirmeye yönelik geliştirilmiş ölçüm aracıdır</w:t>
            </w:r>
            <w:r w:rsidR="000D5BBE">
              <w:rPr>
                <w:rFonts w:ascii="Times New Roman" w:hAnsi="Times New Roman" w:cs="Times New Roman"/>
                <w:sz w:val="24"/>
                <w:szCs w:val="24"/>
              </w:rPr>
              <w:t>.</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AMAÇ</w:t>
            </w:r>
          </w:p>
        </w:tc>
        <w:tc>
          <w:tcPr>
            <w:tcW w:w="7513" w:type="dxa"/>
            <w:vAlign w:val="center"/>
          </w:tcPr>
          <w:p w:rsidR="00297BAA" w:rsidRPr="00545160" w:rsidRDefault="002367A0" w:rsidP="003E2F37">
            <w:pPr>
              <w:rPr>
                <w:rFonts w:ascii="Times New Roman" w:hAnsi="Times New Roman" w:cs="Times New Roman"/>
                <w:sz w:val="24"/>
                <w:szCs w:val="24"/>
              </w:rPr>
            </w:pPr>
            <w:r w:rsidRPr="002367A0">
              <w:rPr>
                <w:rFonts w:ascii="Times New Roman" w:hAnsi="Times New Roman" w:cs="Times New Roman"/>
                <w:sz w:val="24"/>
                <w:szCs w:val="24"/>
              </w:rPr>
              <w:t>Çalışanların kan ve vücut sıvılarına maruz kalma risklerini azaltarak çalışan güvenliğini sağlamak amaçlanmaktadır.</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VERİ KAYNAĞI</w:t>
            </w:r>
          </w:p>
        </w:tc>
        <w:tc>
          <w:tcPr>
            <w:tcW w:w="7513" w:type="dxa"/>
            <w:vAlign w:val="center"/>
          </w:tcPr>
          <w:p w:rsidR="00E861E0" w:rsidRPr="00545160" w:rsidRDefault="002367A0" w:rsidP="00B41F15">
            <w:pPr>
              <w:rPr>
                <w:rFonts w:ascii="Times New Roman" w:hAnsi="Times New Roman" w:cs="Times New Roman"/>
                <w:sz w:val="24"/>
                <w:szCs w:val="24"/>
              </w:rPr>
            </w:pPr>
            <w:r>
              <w:rPr>
                <w:rFonts w:ascii="Times New Roman" w:hAnsi="Times New Roman" w:cs="Times New Roman"/>
                <w:sz w:val="24"/>
                <w:szCs w:val="24"/>
              </w:rPr>
              <w:t>Kan v</w:t>
            </w:r>
            <w:r w:rsidRPr="002367A0">
              <w:rPr>
                <w:rFonts w:ascii="Times New Roman" w:hAnsi="Times New Roman" w:cs="Times New Roman"/>
                <w:sz w:val="24"/>
                <w:szCs w:val="24"/>
              </w:rPr>
              <w:t xml:space="preserve">e Vücut Sıvılarının Sıçramasına Maruz Kalan </w:t>
            </w:r>
            <w:r w:rsidR="004D2BA4">
              <w:rPr>
                <w:rFonts w:ascii="Times New Roman" w:hAnsi="Times New Roman" w:cs="Times New Roman"/>
                <w:sz w:val="24"/>
                <w:szCs w:val="24"/>
              </w:rPr>
              <w:t xml:space="preserve">Çalışan </w:t>
            </w:r>
            <w:proofErr w:type="spellStart"/>
            <w:r w:rsidR="004D2BA4">
              <w:rPr>
                <w:rFonts w:ascii="Times New Roman" w:hAnsi="Times New Roman" w:cs="Times New Roman"/>
                <w:sz w:val="24"/>
                <w:szCs w:val="24"/>
              </w:rPr>
              <w:t>Bildirim</w:t>
            </w:r>
            <w:r w:rsidRPr="002367A0">
              <w:rPr>
                <w:rFonts w:ascii="Times New Roman" w:hAnsi="Times New Roman" w:cs="Times New Roman"/>
                <w:sz w:val="24"/>
                <w:szCs w:val="24"/>
              </w:rPr>
              <w:t>Formu</w:t>
            </w:r>
            <w:proofErr w:type="spellEnd"/>
          </w:p>
        </w:tc>
      </w:tr>
      <w:tr w:rsidR="00BE6D80" w:rsidRPr="00A71A2D" w:rsidTr="00830C2F">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HESAPLAMA YÖNTEMİ</w:t>
            </w:r>
          </w:p>
        </w:tc>
        <w:tc>
          <w:tcPr>
            <w:tcW w:w="7513" w:type="dxa"/>
            <w:vAlign w:val="center"/>
          </w:tcPr>
          <w:p w:rsidR="00830C2F" w:rsidRPr="000D5BBE" w:rsidRDefault="002B73F1" w:rsidP="00830C2F">
            <w:pPr>
              <w:rPr>
                <w:rFonts w:ascii="Times New Roman" w:hAnsi="Times New Roman" w:cs="Times New Roman"/>
                <w:sz w:val="24"/>
                <w:szCs w:val="24"/>
              </w:rPr>
            </w:pPr>
            <w:r>
              <w:rPr>
                <w:rFonts w:ascii="Times New Roman" w:hAnsi="Times New Roman" w:cs="Times New Roman"/>
                <w:sz w:val="24"/>
                <w:szCs w:val="24"/>
              </w:rPr>
              <w:t xml:space="preserve">İlgili </w:t>
            </w:r>
            <w:r w:rsidR="002367A0">
              <w:rPr>
                <w:rFonts w:ascii="Times New Roman" w:hAnsi="Times New Roman" w:cs="Times New Roman"/>
                <w:sz w:val="24"/>
                <w:szCs w:val="24"/>
              </w:rPr>
              <w:t xml:space="preserve">dönemde; (Kan ve vücut sıvılarına maruz kalma sayısı </w:t>
            </w:r>
            <w:r>
              <w:rPr>
                <w:rFonts w:ascii="Times New Roman" w:hAnsi="Times New Roman" w:cs="Times New Roman"/>
                <w:sz w:val="24"/>
                <w:szCs w:val="24"/>
              </w:rPr>
              <w:t>/</w:t>
            </w:r>
            <w:r w:rsidR="002367A0">
              <w:rPr>
                <w:rFonts w:ascii="Times New Roman" w:hAnsi="Times New Roman" w:cs="Times New Roman"/>
                <w:sz w:val="24"/>
                <w:szCs w:val="24"/>
              </w:rPr>
              <w:t xml:space="preserve"> </w:t>
            </w:r>
            <w:r>
              <w:rPr>
                <w:rFonts w:ascii="Times New Roman" w:hAnsi="Times New Roman" w:cs="Times New Roman"/>
                <w:sz w:val="24"/>
                <w:szCs w:val="24"/>
              </w:rPr>
              <w:t>Hasta yükü katsayısı</w:t>
            </w:r>
            <w:r w:rsidR="003E2F37" w:rsidRPr="000D5BBE">
              <w:rPr>
                <w:rFonts w:ascii="Times New Roman" w:hAnsi="Times New Roman" w:cs="Times New Roman"/>
                <w:sz w:val="24"/>
                <w:szCs w:val="24"/>
              </w:rPr>
              <w:t xml:space="preserve">) </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ALT GÖSTERGE</w:t>
            </w:r>
          </w:p>
        </w:tc>
        <w:tc>
          <w:tcPr>
            <w:tcW w:w="7513" w:type="dxa"/>
            <w:vAlign w:val="center"/>
          </w:tcPr>
          <w:p w:rsidR="000E0222" w:rsidRDefault="000E0222" w:rsidP="00E861E0">
            <w:pPr>
              <w:rPr>
                <w:rFonts w:ascii="Times New Roman" w:hAnsi="Times New Roman" w:cs="Times New Roman"/>
                <w:sz w:val="24"/>
                <w:szCs w:val="24"/>
              </w:rPr>
            </w:pPr>
            <w:r>
              <w:rPr>
                <w:rFonts w:ascii="Times New Roman" w:hAnsi="Times New Roman" w:cs="Times New Roman"/>
                <w:sz w:val="24"/>
                <w:szCs w:val="24"/>
              </w:rPr>
              <w:t>Meslek bazında kan ve vücut sıvılarına maruz kalma oranı</w:t>
            </w:r>
          </w:p>
          <w:p w:rsidR="00E861E0" w:rsidRPr="00545160" w:rsidRDefault="000E0222" w:rsidP="003E2F37">
            <w:pPr>
              <w:rPr>
                <w:rFonts w:ascii="Times New Roman" w:hAnsi="Times New Roman" w:cs="Times New Roman"/>
                <w:sz w:val="24"/>
                <w:szCs w:val="24"/>
              </w:rPr>
            </w:pPr>
            <w:r>
              <w:rPr>
                <w:rFonts w:ascii="Times New Roman" w:hAnsi="Times New Roman" w:cs="Times New Roman"/>
                <w:sz w:val="24"/>
                <w:szCs w:val="24"/>
              </w:rPr>
              <w:t>Klinik bazında kan ve vücut sıvılarına maruz kalma oranı</w:t>
            </w:r>
          </w:p>
        </w:tc>
      </w:tr>
      <w:tr w:rsidR="00B41F15" w:rsidRPr="00A71A2D" w:rsidTr="00955040">
        <w:tc>
          <w:tcPr>
            <w:tcW w:w="2977" w:type="dxa"/>
            <w:vAlign w:val="center"/>
          </w:tcPr>
          <w:p w:rsidR="00B41F15" w:rsidRPr="00A71A2D" w:rsidRDefault="00B41F15" w:rsidP="00E861E0">
            <w:pPr>
              <w:rPr>
                <w:rFonts w:ascii="Times New Roman" w:hAnsi="Times New Roman" w:cs="Times New Roman"/>
                <w:b/>
                <w:sz w:val="24"/>
                <w:szCs w:val="24"/>
              </w:rPr>
            </w:pPr>
            <w:r>
              <w:rPr>
                <w:rFonts w:ascii="Times New Roman" w:hAnsi="Times New Roman" w:cs="Times New Roman"/>
                <w:b/>
                <w:sz w:val="24"/>
                <w:szCs w:val="24"/>
              </w:rPr>
              <w:t>HEDEF DEĞER</w:t>
            </w:r>
          </w:p>
        </w:tc>
        <w:tc>
          <w:tcPr>
            <w:tcW w:w="7513" w:type="dxa"/>
            <w:vAlign w:val="center"/>
          </w:tcPr>
          <w:p w:rsidR="00B41F15" w:rsidRDefault="00B41F15" w:rsidP="00E861E0">
            <w:pPr>
              <w:rPr>
                <w:rFonts w:ascii="Times New Roman" w:hAnsi="Times New Roman" w:cs="Times New Roman"/>
                <w:sz w:val="24"/>
                <w:szCs w:val="24"/>
              </w:rPr>
            </w:pP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VERİ GİRİŞ PERİYODU</w:t>
            </w:r>
          </w:p>
        </w:tc>
        <w:tc>
          <w:tcPr>
            <w:tcW w:w="7513" w:type="dxa"/>
            <w:vAlign w:val="center"/>
          </w:tcPr>
          <w:p w:rsidR="000E0222" w:rsidRPr="00BE459C" w:rsidRDefault="00A71A2D" w:rsidP="00E861E0">
            <w:pPr>
              <w:rPr>
                <w:rFonts w:ascii="Times New Roman" w:hAnsi="Times New Roman" w:cs="Times New Roman"/>
                <w:sz w:val="24"/>
                <w:szCs w:val="24"/>
              </w:rPr>
            </w:pPr>
            <w:r w:rsidRPr="000D5BBE">
              <w:rPr>
                <w:rFonts w:ascii="Times New Roman" w:hAnsi="Times New Roman" w:cs="Times New Roman"/>
                <w:sz w:val="24"/>
                <w:szCs w:val="24"/>
              </w:rPr>
              <w:t>3 aylık</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SORUMLULAR</w:t>
            </w:r>
          </w:p>
        </w:tc>
        <w:tc>
          <w:tcPr>
            <w:tcW w:w="7513" w:type="dxa"/>
            <w:vAlign w:val="center"/>
          </w:tcPr>
          <w:p w:rsidR="00E861E0" w:rsidRPr="000D5BBE" w:rsidRDefault="000E0222" w:rsidP="00E861E0">
            <w:pPr>
              <w:rPr>
                <w:rFonts w:ascii="Times New Roman" w:hAnsi="Times New Roman" w:cs="Times New Roman"/>
                <w:sz w:val="24"/>
                <w:szCs w:val="24"/>
              </w:rPr>
            </w:pPr>
            <w:r>
              <w:rPr>
                <w:rFonts w:ascii="Times New Roman" w:hAnsi="Times New Roman" w:cs="Times New Roman"/>
                <w:sz w:val="24"/>
                <w:szCs w:val="24"/>
              </w:rPr>
              <w:t>Enfeksiyon Kontrol Komitesi</w:t>
            </w:r>
          </w:p>
          <w:p w:rsidR="000E0222" w:rsidRPr="00BE459C" w:rsidRDefault="00E861E0" w:rsidP="00E861E0">
            <w:pPr>
              <w:rPr>
                <w:rFonts w:ascii="Times New Roman" w:hAnsi="Times New Roman" w:cs="Times New Roman"/>
                <w:sz w:val="24"/>
                <w:szCs w:val="24"/>
              </w:rPr>
            </w:pPr>
            <w:r w:rsidRPr="000D5BBE">
              <w:rPr>
                <w:rFonts w:ascii="Times New Roman" w:hAnsi="Times New Roman" w:cs="Times New Roman"/>
                <w:sz w:val="24"/>
                <w:szCs w:val="24"/>
              </w:rPr>
              <w:t>Kalite Yönetim Birimi</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SONUÇLARIN PAYLAŞILACAĞI KİŞİLER</w:t>
            </w:r>
          </w:p>
        </w:tc>
        <w:tc>
          <w:tcPr>
            <w:tcW w:w="7513" w:type="dxa"/>
            <w:vAlign w:val="center"/>
          </w:tcPr>
          <w:p w:rsidR="00E861E0" w:rsidRPr="000D5BBE" w:rsidRDefault="00E861E0" w:rsidP="00E861E0">
            <w:pPr>
              <w:rPr>
                <w:rFonts w:ascii="Times New Roman" w:hAnsi="Times New Roman" w:cs="Times New Roman"/>
                <w:sz w:val="24"/>
                <w:szCs w:val="24"/>
              </w:rPr>
            </w:pPr>
            <w:r w:rsidRPr="000D5BBE">
              <w:rPr>
                <w:rFonts w:ascii="Times New Roman" w:hAnsi="Times New Roman" w:cs="Times New Roman"/>
                <w:sz w:val="24"/>
                <w:szCs w:val="24"/>
              </w:rPr>
              <w:t>Üst yönetim</w:t>
            </w:r>
          </w:p>
          <w:p w:rsidR="00E861E0" w:rsidRPr="000D5BBE" w:rsidRDefault="00E861E0" w:rsidP="00E861E0">
            <w:pPr>
              <w:rPr>
                <w:rFonts w:ascii="Times New Roman" w:hAnsi="Times New Roman" w:cs="Times New Roman"/>
                <w:sz w:val="24"/>
                <w:szCs w:val="24"/>
              </w:rPr>
            </w:pPr>
            <w:r w:rsidRPr="000D5BBE">
              <w:rPr>
                <w:rFonts w:ascii="Times New Roman" w:hAnsi="Times New Roman" w:cs="Times New Roman"/>
                <w:sz w:val="24"/>
                <w:szCs w:val="24"/>
              </w:rPr>
              <w:t>Kalite Yönetim Birimi</w:t>
            </w:r>
          </w:p>
        </w:tc>
      </w:tr>
      <w:tr w:rsidR="00BE6D80" w:rsidRPr="00A71A2D" w:rsidTr="00955040">
        <w:tc>
          <w:tcPr>
            <w:tcW w:w="2977" w:type="dxa"/>
            <w:vAlign w:val="center"/>
          </w:tcPr>
          <w:p w:rsidR="00BE6D80" w:rsidRPr="00A71A2D" w:rsidRDefault="00BE6D80" w:rsidP="00E861E0">
            <w:pPr>
              <w:rPr>
                <w:rFonts w:ascii="Times New Roman" w:hAnsi="Times New Roman" w:cs="Times New Roman"/>
                <w:b/>
                <w:sz w:val="24"/>
                <w:szCs w:val="24"/>
              </w:rPr>
            </w:pPr>
            <w:r w:rsidRPr="00A71A2D">
              <w:rPr>
                <w:rFonts w:ascii="Times New Roman" w:hAnsi="Times New Roman" w:cs="Times New Roman"/>
                <w:b/>
                <w:sz w:val="24"/>
                <w:szCs w:val="24"/>
              </w:rPr>
              <w:t>AÇIKLAMA</w:t>
            </w:r>
          </w:p>
        </w:tc>
        <w:tc>
          <w:tcPr>
            <w:tcW w:w="7513" w:type="dxa"/>
            <w:vAlign w:val="center"/>
          </w:tcPr>
          <w:p w:rsidR="00297BAA" w:rsidRPr="00545160" w:rsidRDefault="002B73F1" w:rsidP="004D2BA4">
            <w:pPr>
              <w:jc w:val="both"/>
              <w:rPr>
                <w:rFonts w:ascii="Times New Roman" w:hAnsi="Times New Roman" w:cs="Times New Roman"/>
                <w:sz w:val="24"/>
                <w:szCs w:val="24"/>
              </w:rPr>
            </w:pPr>
            <w:r w:rsidRPr="00545160">
              <w:rPr>
                <w:rFonts w:ascii="Times New Roman" w:hAnsi="Times New Roman" w:cs="Times New Roman"/>
                <w:b/>
                <w:sz w:val="24"/>
                <w:szCs w:val="24"/>
              </w:rPr>
              <w:t xml:space="preserve">Hasta Yükü Katsayısı: </w:t>
            </w:r>
            <w:r w:rsidRPr="00545160">
              <w:rPr>
                <w:rFonts w:ascii="Times New Roman" w:hAnsi="Times New Roman" w:cs="Times New Roman"/>
                <w:sz w:val="24"/>
                <w:szCs w:val="24"/>
              </w:rPr>
              <w:t>İlgili dönemde sağlık kuruluşuna giriş yapılan toplam hasta başvuru sayısı / İlgili Dönemde aktif çalışan sağlık personeli sayısı</w:t>
            </w:r>
          </w:p>
          <w:p w:rsidR="002B73F1" w:rsidRPr="00545160" w:rsidRDefault="002B73F1" w:rsidP="004D2BA4">
            <w:pPr>
              <w:jc w:val="both"/>
              <w:rPr>
                <w:rFonts w:ascii="Times New Roman" w:hAnsi="Times New Roman" w:cs="Times New Roman"/>
                <w:sz w:val="24"/>
                <w:szCs w:val="24"/>
              </w:rPr>
            </w:pPr>
            <w:r w:rsidRPr="00545160">
              <w:rPr>
                <w:rFonts w:ascii="Times New Roman" w:hAnsi="Times New Roman" w:cs="Times New Roman"/>
                <w:sz w:val="24"/>
                <w:szCs w:val="24"/>
              </w:rPr>
              <w:t>Sağlık k</w:t>
            </w:r>
            <w:r w:rsidR="000E0222" w:rsidRPr="00545160">
              <w:rPr>
                <w:rFonts w:ascii="Times New Roman" w:hAnsi="Times New Roman" w:cs="Times New Roman"/>
                <w:sz w:val="24"/>
                <w:szCs w:val="24"/>
              </w:rPr>
              <w:t>uruluşunda çalışan tüm personelin</w:t>
            </w:r>
            <w:r w:rsidRPr="00545160">
              <w:rPr>
                <w:rFonts w:ascii="Times New Roman" w:hAnsi="Times New Roman" w:cs="Times New Roman"/>
                <w:sz w:val="24"/>
                <w:szCs w:val="24"/>
              </w:rPr>
              <w:t xml:space="preserve"> </w:t>
            </w:r>
            <w:r w:rsidR="000E0222" w:rsidRPr="00545160">
              <w:rPr>
                <w:rFonts w:ascii="Times New Roman" w:hAnsi="Times New Roman" w:cs="Times New Roman"/>
                <w:sz w:val="24"/>
                <w:szCs w:val="24"/>
              </w:rPr>
              <w:t xml:space="preserve">(hizmet alımı </w:t>
            </w:r>
            <w:r w:rsidR="00BE459C" w:rsidRPr="00545160">
              <w:rPr>
                <w:rFonts w:ascii="Times New Roman" w:hAnsi="Times New Roman" w:cs="Times New Roman"/>
                <w:sz w:val="24"/>
                <w:szCs w:val="24"/>
              </w:rPr>
              <w:t xml:space="preserve">dahil) </w:t>
            </w:r>
            <w:r w:rsidR="000E0222" w:rsidRPr="00545160">
              <w:rPr>
                <w:rFonts w:ascii="Times New Roman" w:hAnsi="Times New Roman" w:cs="Times New Roman"/>
                <w:sz w:val="24"/>
                <w:szCs w:val="24"/>
              </w:rPr>
              <w:t xml:space="preserve">kan ve vücut sıvıları ile maruz kalma durumları hesaplamaya </w:t>
            </w:r>
            <w:r w:rsidR="00BE459C" w:rsidRPr="00545160">
              <w:rPr>
                <w:rFonts w:ascii="Times New Roman" w:hAnsi="Times New Roman" w:cs="Times New Roman"/>
                <w:sz w:val="24"/>
                <w:szCs w:val="24"/>
              </w:rPr>
              <w:t>dahil edilir.</w:t>
            </w:r>
          </w:p>
          <w:p w:rsidR="00BE459C" w:rsidRPr="00545160" w:rsidRDefault="00BE459C" w:rsidP="004D2BA4">
            <w:pPr>
              <w:jc w:val="both"/>
              <w:rPr>
                <w:rFonts w:ascii="Times New Roman" w:hAnsi="Times New Roman" w:cs="Times New Roman"/>
                <w:sz w:val="24"/>
                <w:szCs w:val="24"/>
              </w:rPr>
            </w:pPr>
            <w:r w:rsidRPr="00545160">
              <w:rPr>
                <w:rFonts w:ascii="Times New Roman" w:hAnsi="Times New Roman" w:cs="Times New Roman"/>
                <w:sz w:val="24"/>
                <w:szCs w:val="24"/>
              </w:rPr>
              <w:t>Hasta başvuru sayısı içine; birden fazla başvurusu olan hastaların her başvurusu hesaplamaya dahil edilir.</w:t>
            </w:r>
          </w:p>
          <w:p w:rsidR="00BE459C" w:rsidRPr="00545160" w:rsidRDefault="00BE459C" w:rsidP="004D2BA4">
            <w:pPr>
              <w:jc w:val="both"/>
              <w:rPr>
                <w:rFonts w:ascii="Times New Roman" w:hAnsi="Times New Roman" w:cs="Times New Roman"/>
                <w:sz w:val="24"/>
                <w:szCs w:val="24"/>
              </w:rPr>
            </w:pPr>
            <w:r w:rsidRPr="00545160">
              <w:rPr>
                <w:rFonts w:ascii="Times New Roman" w:hAnsi="Times New Roman" w:cs="Times New Roman"/>
                <w:sz w:val="24"/>
                <w:szCs w:val="24"/>
              </w:rPr>
              <w:t xml:space="preserve">İlgili dönemde aktif çalışan personel sayısına; hizmet alımı yoluyla görevlendirilen personel, stajyer ve </w:t>
            </w:r>
            <w:proofErr w:type="spellStart"/>
            <w:r w:rsidRPr="00545160">
              <w:rPr>
                <w:rFonts w:ascii="Times New Roman" w:hAnsi="Times New Roman" w:cs="Times New Roman"/>
                <w:sz w:val="24"/>
                <w:szCs w:val="24"/>
              </w:rPr>
              <w:t>intern</w:t>
            </w:r>
            <w:proofErr w:type="spellEnd"/>
            <w:r w:rsidRPr="00545160">
              <w:rPr>
                <w:rFonts w:ascii="Times New Roman" w:hAnsi="Times New Roman" w:cs="Times New Roman"/>
                <w:sz w:val="24"/>
                <w:szCs w:val="24"/>
              </w:rPr>
              <w:t xml:space="preserve"> ö</w:t>
            </w:r>
            <w:r w:rsidR="000E0222" w:rsidRPr="00545160">
              <w:rPr>
                <w:rFonts w:ascii="Times New Roman" w:hAnsi="Times New Roman" w:cs="Times New Roman"/>
                <w:sz w:val="24"/>
                <w:szCs w:val="24"/>
              </w:rPr>
              <w:t>ğrenciler de dahil edilir. İdari görevde çalışan personel ile</w:t>
            </w:r>
            <w:r w:rsidRPr="00545160">
              <w:rPr>
                <w:rFonts w:ascii="Times New Roman" w:hAnsi="Times New Roman" w:cs="Times New Roman"/>
                <w:sz w:val="24"/>
                <w:szCs w:val="24"/>
              </w:rPr>
              <w:t xml:space="preserve"> geçici görev ve ücretsiz izinde olan personel kapsam dışı tutulur.</w:t>
            </w:r>
          </w:p>
          <w:p w:rsidR="00E861E0" w:rsidRPr="002F01F5" w:rsidRDefault="000E0222" w:rsidP="004D2BA4">
            <w:pPr>
              <w:jc w:val="both"/>
              <w:rPr>
                <w:rFonts w:ascii="Times New Roman" w:hAnsi="Times New Roman" w:cs="Times New Roman"/>
              </w:rPr>
            </w:pPr>
            <w:r w:rsidRPr="00545160">
              <w:rPr>
                <w:rFonts w:ascii="Times New Roman" w:hAnsi="Times New Roman" w:cs="Times New Roman"/>
                <w:sz w:val="24"/>
                <w:szCs w:val="24"/>
              </w:rPr>
              <w:t>Gerçekleşen tüm kan ve vücut s</w:t>
            </w:r>
            <w:r w:rsidR="00830C2F" w:rsidRPr="00545160">
              <w:rPr>
                <w:rFonts w:ascii="Times New Roman" w:hAnsi="Times New Roman" w:cs="Times New Roman"/>
                <w:sz w:val="24"/>
                <w:szCs w:val="24"/>
              </w:rPr>
              <w:t xml:space="preserve">ıvılarına maruz kalma durumları </w:t>
            </w:r>
            <w:r w:rsidRPr="00545160">
              <w:rPr>
                <w:rFonts w:ascii="Times New Roman" w:hAnsi="Times New Roman" w:cs="Times New Roman"/>
                <w:sz w:val="24"/>
                <w:szCs w:val="24"/>
              </w:rPr>
              <w:t xml:space="preserve">“İstenmeyen Olay </w:t>
            </w:r>
            <w:r w:rsidRPr="002F01F5">
              <w:rPr>
                <w:rFonts w:ascii="Times New Roman" w:hAnsi="Times New Roman" w:cs="Times New Roman"/>
              </w:rPr>
              <w:t>Bildirim Sistemi” ne raporlanmalıdır.</w:t>
            </w:r>
          </w:p>
          <w:p w:rsidR="004D2BA4" w:rsidRPr="002F01F5" w:rsidRDefault="004D2BA4" w:rsidP="004D2BA4">
            <w:pPr>
              <w:jc w:val="both"/>
              <w:rPr>
                <w:rFonts w:ascii="Times New Roman" w:hAnsi="Times New Roman" w:cs="Times New Roman"/>
              </w:rPr>
            </w:pPr>
            <w:r w:rsidRPr="002F01F5">
              <w:rPr>
                <w:rFonts w:ascii="Times New Roman" w:hAnsi="Times New Roman" w:cs="Times New Roman"/>
              </w:rPr>
              <w:t>Gerçekleşen olay sayısı (pay) düşük olduğunda ana göstergenin sonucu küçük bir değer olarak çıkabilmektedir. Bu durumda hedef değerle karşılaştırmaktan ziyade kurumların dönemler arasındaki farklılıkları alt gösterge sonuçları ile birlikte değerlendirmeleri daha fazla önem arz etmektedir.</w:t>
            </w:r>
          </w:p>
          <w:p w:rsidR="004D2BA4" w:rsidRPr="002F01F5" w:rsidRDefault="004D2BA4" w:rsidP="004D2BA4">
            <w:pPr>
              <w:jc w:val="both"/>
              <w:rPr>
                <w:rFonts w:ascii="Times New Roman" w:hAnsi="Times New Roman" w:cs="Times New Roman"/>
              </w:rPr>
            </w:pPr>
            <w:r w:rsidRPr="002F01F5">
              <w:rPr>
                <w:rFonts w:ascii="Times New Roman" w:hAnsi="Times New Roman" w:cs="Times New Roman"/>
              </w:rPr>
              <w:t xml:space="preserve">“Meslek bazında kan ve vücut sıvılarına maruz kalma oranı” alt göstergesinin hesaplanmasında hasta yükü katsayısı hesaplanmaz, ilgili meslek grubuna ait personel sayısı hesaplamaya </w:t>
            </w:r>
            <w:proofErr w:type="gramStart"/>
            <w:r w:rsidRPr="002F01F5">
              <w:rPr>
                <w:rFonts w:ascii="Times New Roman" w:hAnsi="Times New Roman" w:cs="Times New Roman"/>
              </w:rPr>
              <w:t>dahil</w:t>
            </w:r>
            <w:proofErr w:type="gramEnd"/>
            <w:r w:rsidRPr="002F01F5">
              <w:rPr>
                <w:rFonts w:ascii="Times New Roman" w:hAnsi="Times New Roman" w:cs="Times New Roman"/>
              </w:rPr>
              <w:t xml:space="preserve"> edilir.</w:t>
            </w:r>
          </w:p>
          <w:p w:rsidR="004D2BA4" w:rsidRPr="002F01F5" w:rsidRDefault="004D2BA4" w:rsidP="004D2BA4">
            <w:pPr>
              <w:jc w:val="both"/>
              <w:rPr>
                <w:rFonts w:ascii="Times New Roman" w:hAnsi="Times New Roman" w:cs="Times New Roman"/>
              </w:rPr>
            </w:pPr>
            <w:r w:rsidRPr="002F01F5">
              <w:rPr>
                <w:rFonts w:ascii="Times New Roman" w:hAnsi="Times New Roman" w:cs="Times New Roman"/>
              </w:rPr>
              <w:t>İlgili dönemde;</w:t>
            </w:r>
          </w:p>
          <w:p w:rsidR="004D2BA4" w:rsidRPr="002F01F5" w:rsidRDefault="004D2BA4" w:rsidP="004D2BA4">
            <w:pPr>
              <w:jc w:val="both"/>
              <w:rPr>
                <w:rFonts w:ascii="Times New Roman" w:hAnsi="Times New Roman" w:cs="Times New Roman"/>
                <w:b/>
              </w:rPr>
            </w:pPr>
            <w:r w:rsidRPr="002F01F5">
              <w:rPr>
                <w:rFonts w:ascii="Times New Roman" w:hAnsi="Times New Roman" w:cs="Times New Roman"/>
                <w:b/>
              </w:rPr>
              <w:t>(Paydadaki personellerden kan ve vücut sıvısına maruz kalan personel sayısı / İlgili meslek grubundaki personel sayısı) x 100</w:t>
            </w:r>
          </w:p>
          <w:p w:rsidR="004D2BA4" w:rsidRPr="002F01F5" w:rsidRDefault="004D2BA4" w:rsidP="004D2BA4">
            <w:pPr>
              <w:jc w:val="both"/>
              <w:rPr>
                <w:rFonts w:ascii="Times New Roman" w:hAnsi="Times New Roman" w:cs="Times New Roman"/>
              </w:rPr>
            </w:pPr>
            <w:r w:rsidRPr="002F01F5">
              <w:rPr>
                <w:rFonts w:ascii="Times New Roman" w:hAnsi="Times New Roman" w:cs="Times New Roman"/>
              </w:rPr>
              <w:t>“Klinik/birim/ünite bazında kan ve vücut sıvılarına maruz kalma oranı” alt göstergesinin hesaplamasında ilgili birimin hasta yükü katsayısı hesaplanmalıdır.</w:t>
            </w:r>
          </w:p>
          <w:p w:rsidR="004D2BA4" w:rsidRPr="002F01F5" w:rsidRDefault="004D2BA4" w:rsidP="004D2BA4">
            <w:pPr>
              <w:jc w:val="both"/>
              <w:rPr>
                <w:rFonts w:ascii="Times New Roman" w:hAnsi="Times New Roman" w:cs="Times New Roman"/>
              </w:rPr>
            </w:pPr>
            <w:r w:rsidRPr="002F01F5">
              <w:rPr>
                <w:rFonts w:ascii="Times New Roman" w:hAnsi="Times New Roman" w:cs="Times New Roman"/>
              </w:rPr>
              <w:t>İlgili dönemde;</w:t>
            </w:r>
          </w:p>
          <w:p w:rsidR="004D2BA4" w:rsidRPr="002F01F5" w:rsidRDefault="004D2BA4" w:rsidP="004D2BA4">
            <w:pPr>
              <w:jc w:val="both"/>
              <w:rPr>
                <w:rFonts w:ascii="Times New Roman" w:hAnsi="Times New Roman" w:cs="Times New Roman"/>
                <w:b/>
              </w:rPr>
            </w:pPr>
            <w:r w:rsidRPr="002F01F5">
              <w:rPr>
                <w:rFonts w:ascii="Times New Roman" w:hAnsi="Times New Roman" w:cs="Times New Roman"/>
                <w:b/>
              </w:rPr>
              <w:t>İlgili klinikte kan ve vücut sıvılarına maruz kalma sayısı / Hasta yükü katsayısı</w:t>
            </w:r>
          </w:p>
          <w:p w:rsidR="008F2A41" w:rsidRPr="00BE459C" w:rsidRDefault="004D2BA4" w:rsidP="004D2BA4">
            <w:pPr>
              <w:jc w:val="both"/>
              <w:rPr>
                <w:rFonts w:ascii="Times New Roman" w:hAnsi="Times New Roman" w:cs="Times New Roman"/>
                <w:sz w:val="24"/>
                <w:szCs w:val="24"/>
              </w:rPr>
            </w:pPr>
            <w:r w:rsidRPr="002F01F5">
              <w:rPr>
                <w:rFonts w:ascii="Times New Roman" w:hAnsi="Times New Roman" w:cs="Times New Roman"/>
              </w:rPr>
              <w:t>Hasta yükü katsayısı hesaplaması ise “İlgili dönemde kliniğe başvuran hasta sayısı / İlgili klinikte ilgili dönemde aktif çalışan personel sayısı” şeklindedir</w:t>
            </w:r>
          </w:p>
        </w:tc>
      </w:tr>
    </w:tbl>
    <w:p w:rsidR="00F92BBE" w:rsidRDefault="00F92BBE">
      <w:bookmarkStart w:id="0" w:name="_GoBack"/>
      <w:bookmarkEnd w:id="0"/>
    </w:p>
    <w:sectPr w:rsidR="00F92BBE" w:rsidSect="002F01F5">
      <w:headerReference w:type="default" r:id="rId6"/>
      <w:headerReference w:type="first" r:id="rId7"/>
      <w:pgSz w:w="11906" w:h="16838"/>
      <w:pgMar w:top="1985" w:right="1417" w:bottom="284" w:left="1417" w:header="426" w:footer="9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47D" w:rsidRDefault="0044647D" w:rsidP="00B70EC2">
      <w:pPr>
        <w:spacing w:after="0" w:line="240" w:lineRule="auto"/>
      </w:pPr>
      <w:r>
        <w:separator/>
      </w:r>
    </w:p>
  </w:endnote>
  <w:endnote w:type="continuationSeparator" w:id="0">
    <w:p w:rsidR="0044647D" w:rsidRDefault="0044647D" w:rsidP="00B7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47D" w:rsidRDefault="0044647D" w:rsidP="00B70EC2">
      <w:pPr>
        <w:spacing w:after="0" w:line="240" w:lineRule="auto"/>
      </w:pPr>
      <w:r>
        <w:separator/>
      </w:r>
    </w:p>
  </w:footnote>
  <w:footnote w:type="continuationSeparator" w:id="0">
    <w:p w:rsidR="0044647D" w:rsidRDefault="0044647D" w:rsidP="00B7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90" w:type="dxa"/>
      <w:tblInd w:w="-714" w:type="dxa"/>
      <w:tblLayout w:type="fixed"/>
      <w:tblLook w:val="04A0" w:firstRow="1" w:lastRow="0" w:firstColumn="1" w:lastColumn="0" w:noHBand="0" w:noVBand="1"/>
    </w:tblPr>
    <w:tblGrid>
      <w:gridCol w:w="2127"/>
      <w:gridCol w:w="1417"/>
      <w:gridCol w:w="1134"/>
      <w:gridCol w:w="1330"/>
      <w:gridCol w:w="1364"/>
      <w:gridCol w:w="992"/>
      <w:gridCol w:w="2126"/>
    </w:tblGrid>
    <w:tr w:rsidR="00B70EC2" w:rsidRPr="00D13CF7" w:rsidTr="00EB060A">
      <w:trPr>
        <w:trHeight w:val="705"/>
      </w:trPr>
      <w:tc>
        <w:tcPr>
          <w:tcW w:w="2127" w:type="dxa"/>
          <w:vMerge w:val="restart"/>
        </w:tcPr>
        <w:p w:rsidR="00B70EC2" w:rsidRPr="00D13CF7" w:rsidRDefault="00B70EC2" w:rsidP="00B70EC2">
          <w:pPr>
            <w:rPr>
              <w:rFonts w:ascii="Calibri" w:eastAsia="Calibri" w:hAnsi="Calibri" w:cs="Times New Roman"/>
            </w:rPr>
          </w:pPr>
          <w:r w:rsidRPr="00D13CF7">
            <w:rPr>
              <w:rFonts w:ascii="Calibri" w:eastAsia="Calibri" w:hAnsi="Calibri" w:cs="Times New Roman"/>
              <w:noProof/>
              <w:sz w:val="20"/>
              <w:szCs w:val="20"/>
              <w:lang w:eastAsia="tr-TR"/>
            </w:rPr>
            <w:drawing>
              <wp:anchor distT="0" distB="0" distL="114300" distR="114300" simplePos="0" relativeHeight="251660288" behindDoc="1" locked="0" layoutInCell="1" allowOverlap="1" wp14:anchorId="329E0841" wp14:editId="73AF8046">
                <wp:simplePos x="0" y="0"/>
                <wp:positionH relativeFrom="column">
                  <wp:posOffset>232410</wp:posOffset>
                </wp:positionH>
                <wp:positionV relativeFrom="paragraph">
                  <wp:posOffset>95885</wp:posOffset>
                </wp:positionV>
                <wp:extent cx="790575" cy="809625"/>
                <wp:effectExtent l="0" t="0" r="9525" b="9525"/>
                <wp:wrapNone/>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CF7">
            <w:rPr>
              <w:rFonts w:ascii="Calibri" w:eastAsia="Calibri" w:hAnsi="Calibri" w:cs="Times New Roman"/>
            </w:rPr>
            <w:t xml:space="preserve">                                                   </w:t>
          </w:r>
        </w:p>
      </w:tc>
      <w:tc>
        <w:tcPr>
          <w:tcW w:w="6237" w:type="dxa"/>
          <w:gridSpan w:val="5"/>
          <w:vAlign w:val="center"/>
        </w:tcPr>
        <w:p w:rsidR="00B70EC2" w:rsidRPr="00694417" w:rsidRDefault="002367A0" w:rsidP="00694417">
          <w:pPr>
            <w:jc w:val="center"/>
            <w:rPr>
              <w:rFonts w:ascii="Times New Roman" w:hAnsi="Times New Roman" w:cs="Times New Roman"/>
              <w:b/>
              <w:sz w:val="24"/>
              <w:szCs w:val="24"/>
            </w:rPr>
          </w:pPr>
          <w:r>
            <w:rPr>
              <w:rFonts w:ascii="Times New Roman" w:hAnsi="Times New Roman" w:cs="Times New Roman"/>
              <w:b/>
              <w:sz w:val="24"/>
              <w:szCs w:val="24"/>
            </w:rPr>
            <w:t xml:space="preserve">KAN VE VÜCUT SIVILARINA MARUZ KALMA ORANI </w:t>
          </w:r>
          <w:r w:rsidR="00BE6D80">
            <w:rPr>
              <w:rFonts w:ascii="Times New Roman" w:hAnsi="Times New Roman" w:cs="Times New Roman"/>
              <w:b/>
              <w:sz w:val="24"/>
              <w:szCs w:val="24"/>
            </w:rPr>
            <w:t>GÖSTERGE KARTI</w:t>
          </w:r>
        </w:p>
      </w:tc>
      <w:tc>
        <w:tcPr>
          <w:tcW w:w="2126" w:type="dxa"/>
          <w:vMerge w:val="restart"/>
        </w:tcPr>
        <w:p w:rsidR="00B70EC2" w:rsidRPr="00D13CF7" w:rsidRDefault="00B70EC2" w:rsidP="00B70EC2">
          <w:pPr>
            <w:rPr>
              <w:rFonts w:ascii="Calibri" w:eastAsia="Calibri" w:hAnsi="Calibri" w:cs="Times New Roman"/>
            </w:rPr>
          </w:pPr>
          <w:r w:rsidRPr="00D13CF7">
            <w:rPr>
              <w:rFonts w:ascii="Calibri" w:eastAsia="Calibri" w:hAnsi="Calibri" w:cs="Times New Roman"/>
              <w:noProof/>
              <w:sz w:val="20"/>
              <w:szCs w:val="20"/>
              <w:lang w:eastAsia="tr-TR"/>
            </w:rPr>
            <w:drawing>
              <wp:anchor distT="0" distB="0" distL="114300" distR="114300" simplePos="0" relativeHeight="251659264" behindDoc="1" locked="0" layoutInCell="1" allowOverlap="1" wp14:anchorId="2ED8F564" wp14:editId="544ACFD3">
                <wp:simplePos x="0" y="0"/>
                <wp:positionH relativeFrom="column">
                  <wp:posOffset>142875</wp:posOffset>
                </wp:positionH>
                <wp:positionV relativeFrom="paragraph">
                  <wp:posOffset>94615</wp:posOffset>
                </wp:positionV>
                <wp:extent cx="933450" cy="809625"/>
                <wp:effectExtent l="0" t="0" r="0" b="9525"/>
                <wp:wrapNone/>
                <wp:docPr id="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70EC2" w:rsidRPr="00D13CF7" w:rsidTr="00EB060A">
      <w:trPr>
        <w:trHeight w:val="430"/>
      </w:trPr>
      <w:tc>
        <w:tcPr>
          <w:tcW w:w="2127" w:type="dxa"/>
          <w:vMerge/>
        </w:tcPr>
        <w:p w:rsidR="00B70EC2" w:rsidRPr="00D13CF7" w:rsidRDefault="00B70EC2" w:rsidP="00B70EC2">
          <w:pPr>
            <w:rPr>
              <w:rFonts w:ascii="Calibri" w:eastAsia="Calibri" w:hAnsi="Calibri" w:cs="Times New Roman"/>
            </w:rPr>
          </w:pPr>
        </w:p>
      </w:tc>
      <w:tc>
        <w:tcPr>
          <w:tcW w:w="1417" w:type="dxa"/>
        </w:tcPr>
        <w:p w:rsidR="00B70EC2" w:rsidRPr="00D13CF7" w:rsidRDefault="00B70EC2" w:rsidP="00B70EC2">
          <w:pPr>
            <w:jc w:val="center"/>
            <w:rPr>
              <w:rFonts w:ascii="Calibri" w:eastAsia="Calibri" w:hAnsi="Calibri" w:cs="Times New Roman"/>
            </w:rPr>
          </w:pPr>
          <w:r w:rsidRPr="00D13CF7">
            <w:rPr>
              <w:rFonts w:ascii="Times New Roman" w:eastAsia="Calibri" w:hAnsi="Times New Roman" w:cs="Times New Roman"/>
              <w:b/>
              <w:sz w:val="20"/>
              <w:szCs w:val="20"/>
            </w:rPr>
            <w:t>DOKÜMAN NO</w:t>
          </w:r>
        </w:p>
      </w:tc>
      <w:tc>
        <w:tcPr>
          <w:tcW w:w="1134" w:type="dxa"/>
        </w:tcPr>
        <w:p w:rsidR="00B70EC2" w:rsidRPr="00D13CF7" w:rsidRDefault="00B70EC2" w:rsidP="00B70EC2">
          <w:pPr>
            <w:jc w:val="center"/>
            <w:rPr>
              <w:rFonts w:ascii="Calibri" w:eastAsia="Calibri" w:hAnsi="Calibri" w:cs="Times New Roman"/>
            </w:rPr>
          </w:pPr>
          <w:r w:rsidRPr="00D13CF7">
            <w:rPr>
              <w:rFonts w:ascii="Times New Roman" w:eastAsia="Calibri" w:hAnsi="Times New Roman" w:cs="Times New Roman"/>
              <w:b/>
              <w:sz w:val="20"/>
              <w:szCs w:val="20"/>
            </w:rPr>
            <w:t>YAYIN TARİHİ</w:t>
          </w:r>
        </w:p>
      </w:tc>
      <w:tc>
        <w:tcPr>
          <w:tcW w:w="1330" w:type="dxa"/>
        </w:tcPr>
        <w:p w:rsidR="00B70EC2" w:rsidRPr="00D13CF7" w:rsidRDefault="00B70EC2" w:rsidP="00B70EC2">
          <w:pPr>
            <w:jc w:val="center"/>
            <w:rPr>
              <w:rFonts w:ascii="Calibri" w:eastAsia="Calibri" w:hAnsi="Calibri" w:cs="Times New Roman"/>
            </w:rPr>
          </w:pPr>
          <w:r w:rsidRPr="00D13CF7">
            <w:rPr>
              <w:rFonts w:ascii="Times New Roman" w:eastAsia="Calibri" w:hAnsi="Times New Roman" w:cs="Times New Roman"/>
              <w:b/>
              <w:sz w:val="20"/>
              <w:szCs w:val="20"/>
            </w:rPr>
            <w:t>REVİZYON TARİHİ</w:t>
          </w:r>
        </w:p>
      </w:tc>
      <w:tc>
        <w:tcPr>
          <w:tcW w:w="1364" w:type="dxa"/>
        </w:tcPr>
        <w:p w:rsidR="00B70EC2" w:rsidRPr="00D13CF7" w:rsidRDefault="00B70EC2" w:rsidP="00B70EC2">
          <w:pPr>
            <w:jc w:val="center"/>
            <w:rPr>
              <w:rFonts w:ascii="Calibri" w:eastAsia="Calibri" w:hAnsi="Calibri" w:cs="Times New Roman"/>
            </w:rPr>
          </w:pPr>
          <w:r w:rsidRPr="00D13CF7">
            <w:rPr>
              <w:rFonts w:ascii="Times New Roman" w:eastAsia="Calibri" w:hAnsi="Times New Roman" w:cs="Times New Roman"/>
              <w:b/>
              <w:sz w:val="20"/>
              <w:szCs w:val="20"/>
            </w:rPr>
            <w:t>REVİZYON NO</w:t>
          </w:r>
        </w:p>
      </w:tc>
      <w:tc>
        <w:tcPr>
          <w:tcW w:w="992" w:type="dxa"/>
        </w:tcPr>
        <w:p w:rsidR="00B70EC2" w:rsidRPr="00D13CF7" w:rsidRDefault="00B70EC2" w:rsidP="00B70EC2">
          <w:pPr>
            <w:jc w:val="center"/>
            <w:rPr>
              <w:rFonts w:ascii="Times New Roman" w:eastAsia="Calibri" w:hAnsi="Times New Roman" w:cs="Times New Roman"/>
              <w:b/>
              <w:sz w:val="20"/>
              <w:szCs w:val="20"/>
            </w:rPr>
          </w:pPr>
          <w:r w:rsidRPr="00D13CF7">
            <w:rPr>
              <w:rFonts w:ascii="Times New Roman" w:eastAsia="Calibri" w:hAnsi="Times New Roman" w:cs="Times New Roman"/>
              <w:b/>
              <w:sz w:val="20"/>
              <w:szCs w:val="20"/>
            </w:rPr>
            <w:t>SAYFA</w:t>
          </w:r>
        </w:p>
        <w:p w:rsidR="00B70EC2" w:rsidRPr="00D13CF7" w:rsidRDefault="00B70EC2" w:rsidP="00B70EC2">
          <w:pPr>
            <w:jc w:val="center"/>
            <w:rPr>
              <w:rFonts w:ascii="Calibri" w:eastAsia="Calibri" w:hAnsi="Calibri" w:cs="Times New Roman"/>
            </w:rPr>
          </w:pPr>
          <w:r w:rsidRPr="00D13CF7">
            <w:rPr>
              <w:rFonts w:ascii="Times New Roman" w:eastAsia="Calibri" w:hAnsi="Times New Roman" w:cs="Times New Roman"/>
              <w:b/>
              <w:sz w:val="20"/>
              <w:szCs w:val="20"/>
            </w:rPr>
            <w:t>NO</w:t>
          </w:r>
        </w:p>
      </w:tc>
      <w:tc>
        <w:tcPr>
          <w:tcW w:w="2126" w:type="dxa"/>
          <w:vMerge/>
        </w:tcPr>
        <w:p w:rsidR="00B70EC2" w:rsidRPr="00D13CF7" w:rsidRDefault="00B70EC2" w:rsidP="00B70EC2">
          <w:pPr>
            <w:rPr>
              <w:rFonts w:ascii="Calibri" w:eastAsia="Calibri" w:hAnsi="Calibri" w:cs="Times New Roman"/>
            </w:rPr>
          </w:pPr>
        </w:p>
      </w:tc>
    </w:tr>
    <w:tr w:rsidR="00982FD3" w:rsidRPr="004A5530" w:rsidTr="004D3E94">
      <w:trPr>
        <w:trHeight w:val="214"/>
      </w:trPr>
      <w:tc>
        <w:tcPr>
          <w:tcW w:w="2127" w:type="dxa"/>
          <w:vMerge/>
        </w:tcPr>
        <w:p w:rsidR="00982FD3" w:rsidRPr="004A5530" w:rsidRDefault="00982FD3" w:rsidP="00982FD3">
          <w:pPr>
            <w:jc w:val="center"/>
            <w:rPr>
              <w:rFonts w:ascii="Times New Roman" w:eastAsia="Calibri" w:hAnsi="Times New Roman" w:cs="Times New Roman"/>
              <w:sz w:val="20"/>
              <w:szCs w:val="20"/>
            </w:rPr>
          </w:pPr>
        </w:p>
      </w:tc>
      <w:tc>
        <w:tcPr>
          <w:tcW w:w="1417" w:type="dxa"/>
        </w:tcPr>
        <w:p w:rsidR="00982FD3" w:rsidRPr="004A5530" w:rsidRDefault="00982FD3" w:rsidP="00982FD3">
          <w:pPr>
            <w:jc w:val="center"/>
            <w:rPr>
              <w:rFonts w:ascii="Times New Roman" w:eastAsia="Calibri" w:hAnsi="Times New Roman" w:cs="Times New Roman"/>
              <w:sz w:val="20"/>
              <w:szCs w:val="20"/>
            </w:rPr>
          </w:pPr>
          <w:r>
            <w:rPr>
              <w:rFonts w:ascii="Times New Roman" w:eastAsia="Calibri" w:hAnsi="Times New Roman" w:cs="Times New Roman"/>
              <w:sz w:val="20"/>
              <w:szCs w:val="20"/>
            </w:rPr>
            <w:t>GGİ.YD.17</w:t>
          </w:r>
        </w:p>
      </w:tc>
      <w:tc>
        <w:tcPr>
          <w:tcW w:w="1134" w:type="dxa"/>
        </w:tcPr>
        <w:p w:rsidR="00982FD3" w:rsidRPr="004A5530" w:rsidRDefault="00982FD3" w:rsidP="00982FD3">
          <w:pPr>
            <w:jc w:val="center"/>
            <w:rPr>
              <w:rFonts w:ascii="Times New Roman" w:eastAsia="Calibri" w:hAnsi="Times New Roman" w:cs="Times New Roman"/>
              <w:sz w:val="20"/>
              <w:szCs w:val="20"/>
            </w:rPr>
          </w:pPr>
          <w:r>
            <w:rPr>
              <w:rFonts w:ascii="Times New Roman" w:eastAsia="Calibri" w:hAnsi="Times New Roman" w:cs="Times New Roman"/>
              <w:sz w:val="20"/>
              <w:szCs w:val="20"/>
            </w:rPr>
            <w:t>10.11.2021</w:t>
          </w:r>
        </w:p>
      </w:tc>
      <w:tc>
        <w:tcPr>
          <w:tcW w:w="1330" w:type="dxa"/>
          <w:tcBorders>
            <w:top w:val="single" w:sz="4" w:space="0" w:color="auto"/>
            <w:left w:val="single" w:sz="4" w:space="0" w:color="auto"/>
            <w:bottom w:val="single" w:sz="4" w:space="0" w:color="auto"/>
            <w:right w:val="single" w:sz="4" w:space="0" w:color="auto"/>
          </w:tcBorders>
        </w:tcPr>
        <w:p w:rsidR="00982FD3" w:rsidRDefault="004D2BA4" w:rsidP="00982FD3">
          <w:pPr>
            <w:jc w:val="center"/>
            <w:rPr>
              <w:rFonts w:ascii="Times New Roman" w:eastAsia="Calibri" w:hAnsi="Times New Roman" w:cs="Times New Roman"/>
              <w:sz w:val="20"/>
              <w:szCs w:val="20"/>
            </w:rPr>
          </w:pPr>
          <w:r>
            <w:rPr>
              <w:rFonts w:ascii="Times New Roman" w:eastAsia="Calibri" w:hAnsi="Times New Roman" w:cs="Times New Roman"/>
              <w:sz w:val="20"/>
              <w:szCs w:val="20"/>
            </w:rPr>
            <w:t>20.09.2024</w:t>
          </w:r>
        </w:p>
      </w:tc>
      <w:tc>
        <w:tcPr>
          <w:tcW w:w="1364" w:type="dxa"/>
          <w:tcBorders>
            <w:top w:val="single" w:sz="4" w:space="0" w:color="auto"/>
            <w:left w:val="single" w:sz="4" w:space="0" w:color="auto"/>
            <w:bottom w:val="single" w:sz="4" w:space="0" w:color="auto"/>
            <w:right w:val="single" w:sz="4" w:space="0" w:color="auto"/>
          </w:tcBorders>
        </w:tcPr>
        <w:p w:rsidR="00982FD3" w:rsidRDefault="004D2BA4" w:rsidP="00982FD3">
          <w:pPr>
            <w:jc w:val="center"/>
            <w:rPr>
              <w:rFonts w:ascii="Times New Roman" w:eastAsia="Calibri" w:hAnsi="Times New Roman" w:cs="Times New Roman"/>
              <w:sz w:val="20"/>
              <w:szCs w:val="20"/>
            </w:rPr>
          </w:pPr>
          <w:r>
            <w:rPr>
              <w:rFonts w:ascii="Times New Roman" w:eastAsia="Calibri" w:hAnsi="Times New Roman" w:cs="Times New Roman"/>
              <w:sz w:val="20"/>
              <w:szCs w:val="20"/>
            </w:rPr>
            <w:t>02</w:t>
          </w:r>
        </w:p>
      </w:tc>
      <w:tc>
        <w:tcPr>
          <w:tcW w:w="992" w:type="dxa"/>
        </w:tcPr>
        <w:p w:rsidR="00982FD3" w:rsidRPr="004A5530" w:rsidRDefault="00982FD3" w:rsidP="00982FD3">
          <w:pPr>
            <w:jc w:val="center"/>
            <w:rPr>
              <w:rFonts w:ascii="Times New Roman" w:eastAsia="Calibri" w:hAnsi="Times New Roman" w:cs="Times New Roman"/>
              <w:sz w:val="20"/>
              <w:szCs w:val="20"/>
            </w:rPr>
          </w:pPr>
          <w:r>
            <w:rPr>
              <w:rFonts w:ascii="Times New Roman" w:eastAsia="Calibri" w:hAnsi="Times New Roman" w:cs="Times New Roman"/>
              <w:sz w:val="20"/>
              <w:szCs w:val="20"/>
            </w:rPr>
            <w:t>01</w:t>
          </w:r>
        </w:p>
      </w:tc>
      <w:tc>
        <w:tcPr>
          <w:tcW w:w="2126" w:type="dxa"/>
          <w:vMerge/>
        </w:tcPr>
        <w:p w:rsidR="00982FD3" w:rsidRPr="004A5530" w:rsidRDefault="00982FD3" w:rsidP="00982FD3">
          <w:pPr>
            <w:jc w:val="center"/>
            <w:rPr>
              <w:rFonts w:ascii="Times New Roman" w:eastAsia="Calibri" w:hAnsi="Times New Roman" w:cs="Times New Roman"/>
              <w:sz w:val="20"/>
              <w:szCs w:val="20"/>
            </w:rPr>
          </w:pPr>
        </w:p>
      </w:tc>
    </w:tr>
  </w:tbl>
  <w:p w:rsidR="00B70EC2" w:rsidRDefault="00B70EC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90" w:type="dxa"/>
      <w:tblInd w:w="-714" w:type="dxa"/>
      <w:tblLayout w:type="fixed"/>
      <w:tblLook w:val="04A0" w:firstRow="1" w:lastRow="0" w:firstColumn="1" w:lastColumn="0" w:noHBand="0" w:noVBand="1"/>
    </w:tblPr>
    <w:tblGrid>
      <w:gridCol w:w="2127"/>
      <w:gridCol w:w="1417"/>
      <w:gridCol w:w="1134"/>
      <w:gridCol w:w="1330"/>
      <w:gridCol w:w="1364"/>
      <w:gridCol w:w="992"/>
      <w:gridCol w:w="2126"/>
    </w:tblGrid>
    <w:tr w:rsidR="002F01F5" w:rsidRPr="00D13CF7" w:rsidTr="00EE4CCE">
      <w:trPr>
        <w:trHeight w:val="705"/>
      </w:trPr>
      <w:tc>
        <w:tcPr>
          <w:tcW w:w="2127" w:type="dxa"/>
          <w:vMerge w:val="restart"/>
        </w:tcPr>
        <w:p w:rsidR="002F01F5" w:rsidRPr="00D13CF7" w:rsidRDefault="002F01F5" w:rsidP="002F01F5">
          <w:pPr>
            <w:rPr>
              <w:rFonts w:ascii="Calibri" w:eastAsia="Calibri" w:hAnsi="Calibri" w:cs="Times New Roman"/>
            </w:rPr>
          </w:pPr>
          <w:r w:rsidRPr="00D13CF7">
            <w:rPr>
              <w:rFonts w:ascii="Calibri" w:eastAsia="Calibri" w:hAnsi="Calibri" w:cs="Times New Roman"/>
              <w:noProof/>
              <w:sz w:val="20"/>
              <w:szCs w:val="20"/>
              <w:lang w:eastAsia="tr-TR"/>
            </w:rPr>
            <w:drawing>
              <wp:anchor distT="0" distB="0" distL="114300" distR="114300" simplePos="0" relativeHeight="251663360" behindDoc="1" locked="0" layoutInCell="1" allowOverlap="1" wp14:anchorId="1EE8706A" wp14:editId="562D4CBA">
                <wp:simplePos x="0" y="0"/>
                <wp:positionH relativeFrom="column">
                  <wp:posOffset>232410</wp:posOffset>
                </wp:positionH>
                <wp:positionV relativeFrom="paragraph">
                  <wp:posOffset>95885</wp:posOffset>
                </wp:positionV>
                <wp:extent cx="790575" cy="809625"/>
                <wp:effectExtent l="0" t="0" r="9525" b="9525"/>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CF7">
            <w:rPr>
              <w:rFonts w:ascii="Calibri" w:eastAsia="Calibri" w:hAnsi="Calibri" w:cs="Times New Roman"/>
            </w:rPr>
            <w:t xml:space="preserve">                                                   </w:t>
          </w:r>
        </w:p>
      </w:tc>
      <w:tc>
        <w:tcPr>
          <w:tcW w:w="6237" w:type="dxa"/>
          <w:gridSpan w:val="5"/>
          <w:vAlign w:val="center"/>
        </w:tcPr>
        <w:p w:rsidR="002F01F5" w:rsidRPr="00694417" w:rsidRDefault="002F01F5" w:rsidP="002F01F5">
          <w:pPr>
            <w:jc w:val="center"/>
            <w:rPr>
              <w:rFonts w:ascii="Times New Roman" w:hAnsi="Times New Roman" w:cs="Times New Roman"/>
              <w:b/>
              <w:sz w:val="24"/>
              <w:szCs w:val="24"/>
            </w:rPr>
          </w:pPr>
          <w:r>
            <w:rPr>
              <w:rFonts w:ascii="Times New Roman" w:hAnsi="Times New Roman" w:cs="Times New Roman"/>
              <w:b/>
              <w:sz w:val="24"/>
              <w:szCs w:val="24"/>
            </w:rPr>
            <w:t>KAN VE VÜCUT SIVILARINA MARUZ KALMA ORANI GÖSTERGE KARTI</w:t>
          </w:r>
        </w:p>
      </w:tc>
      <w:tc>
        <w:tcPr>
          <w:tcW w:w="2126" w:type="dxa"/>
          <w:vMerge w:val="restart"/>
        </w:tcPr>
        <w:p w:rsidR="002F01F5" w:rsidRPr="00D13CF7" w:rsidRDefault="002F01F5" w:rsidP="002F01F5">
          <w:pPr>
            <w:rPr>
              <w:rFonts w:ascii="Calibri" w:eastAsia="Calibri" w:hAnsi="Calibri" w:cs="Times New Roman"/>
            </w:rPr>
          </w:pPr>
          <w:r w:rsidRPr="00D13CF7">
            <w:rPr>
              <w:rFonts w:ascii="Calibri" w:eastAsia="Calibri" w:hAnsi="Calibri" w:cs="Times New Roman"/>
              <w:noProof/>
              <w:sz w:val="20"/>
              <w:szCs w:val="20"/>
              <w:lang w:eastAsia="tr-TR"/>
            </w:rPr>
            <w:drawing>
              <wp:anchor distT="0" distB="0" distL="114300" distR="114300" simplePos="0" relativeHeight="251662336" behindDoc="1" locked="0" layoutInCell="1" allowOverlap="1" wp14:anchorId="22E55A95" wp14:editId="53D0C5E4">
                <wp:simplePos x="0" y="0"/>
                <wp:positionH relativeFrom="column">
                  <wp:posOffset>142875</wp:posOffset>
                </wp:positionH>
                <wp:positionV relativeFrom="paragraph">
                  <wp:posOffset>94615</wp:posOffset>
                </wp:positionV>
                <wp:extent cx="933450" cy="809625"/>
                <wp:effectExtent l="0" t="0" r="0" b="9525"/>
                <wp:wrapNone/>
                <wp:docPr id="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01F5" w:rsidRPr="00D13CF7" w:rsidTr="00EE4CCE">
      <w:trPr>
        <w:trHeight w:val="430"/>
      </w:trPr>
      <w:tc>
        <w:tcPr>
          <w:tcW w:w="2127" w:type="dxa"/>
          <w:vMerge/>
        </w:tcPr>
        <w:p w:rsidR="002F01F5" w:rsidRPr="00D13CF7" w:rsidRDefault="002F01F5" w:rsidP="002F01F5">
          <w:pPr>
            <w:rPr>
              <w:rFonts w:ascii="Calibri" w:eastAsia="Calibri" w:hAnsi="Calibri" w:cs="Times New Roman"/>
            </w:rPr>
          </w:pPr>
        </w:p>
      </w:tc>
      <w:tc>
        <w:tcPr>
          <w:tcW w:w="1417" w:type="dxa"/>
        </w:tcPr>
        <w:p w:rsidR="002F01F5" w:rsidRPr="00D13CF7" w:rsidRDefault="002F01F5" w:rsidP="002F01F5">
          <w:pPr>
            <w:jc w:val="center"/>
            <w:rPr>
              <w:rFonts w:ascii="Calibri" w:eastAsia="Calibri" w:hAnsi="Calibri" w:cs="Times New Roman"/>
            </w:rPr>
          </w:pPr>
          <w:r w:rsidRPr="00D13CF7">
            <w:rPr>
              <w:rFonts w:ascii="Times New Roman" w:eastAsia="Calibri" w:hAnsi="Times New Roman" w:cs="Times New Roman"/>
              <w:b/>
              <w:sz w:val="20"/>
              <w:szCs w:val="20"/>
            </w:rPr>
            <w:t>DOKÜMAN NO</w:t>
          </w:r>
        </w:p>
      </w:tc>
      <w:tc>
        <w:tcPr>
          <w:tcW w:w="1134" w:type="dxa"/>
        </w:tcPr>
        <w:p w:rsidR="002F01F5" w:rsidRPr="00D13CF7" w:rsidRDefault="002F01F5" w:rsidP="002F01F5">
          <w:pPr>
            <w:jc w:val="center"/>
            <w:rPr>
              <w:rFonts w:ascii="Calibri" w:eastAsia="Calibri" w:hAnsi="Calibri" w:cs="Times New Roman"/>
            </w:rPr>
          </w:pPr>
          <w:r w:rsidRPr="00D13CF7">
            <w:rPr>
              <w:rFonts w:ascii="Times New Roman" w:eastAsia="Calibri" w:hAnsi="Times New Roman" w:cs="Times New Roman"/>
              <w:b/>
              <w:sz w:val="20"/>
              <w:szCs w:val="20"/>
            </w:rPr>
            <w:t>YAYIN TARİHİ</w:t>
          </w:r>
        </w:p>
      </w:tc>
      <w:tc>
        <w:tcPr>
          <w:tcW w:w="1330" w:type="dxa"/>
        </w:tcPr>
        <w:p w:rsidR="002F01F5" w:rsidRPr="00D13CF7" w:rsidRDefault="002F01F5" w:rsidP="002F01F5">
          <w:pPr>
            <w:jc w:val="center"/>
            <w:rPr>
              <w:rFonts w:ascii="Calibri" w:eastAsia="Calibri" w:hAnsi="Calibri" w:cs="Times New Roman"/>
            </w:rPr>
          </w:pPr>
          <w:r w:rsidRPr="00D13CF7">
            <w:rPr>
              <w:rFonts w:ascii="Times New Roman" w:eastAsia="Calibri" w:hAnsi="Times New Roman" w:cs="Times New Roman"/>
              <w:b/>
              <w:sz w:val="20"/>
              <w:szCs w:val="20"/>
            </w:rPr>
            <w:t>REVİZYON TARİHİ</w:t>
          </w:r>
        </w:p>
      </w:tc>
      <w:tc>
        <w:tcPr>
          <w:tcW w:w="1364" w:type="dxa"/>
        </w:tcPr>
        <w:p w:rsidR="002F01F5" w:rsidRPr="00D13CF7" w:rsidRDefault="002F01F5" w:rsidP="002F01F5">
          <w:pPr>
            <w:jc w:val="center"/>
            <w:rPr>
              <w:rFonts w:ascii="Calibri" w:eastAsia="Calibri" w:hAnsi="Calibri" w:cs="Times New Roman"/>
            </w:rPr>
          </w:pPr>
          <w:r w:rsidRPr="00D13CF7">
            <w:rPr>
              <w:rFonts w:ascii="Times New Roman" w:eastAsia="Calibri" w:hAnsi="Times New Roman" w:cs="Times New Roman"/>
              <w:b/>
              <w:sz w:val="20"/>
              <w:szCs w:val="20"/>
            </w:rPr>
            <w:t>REVİZYON NO</w:t>
          </w:r>
        </w:p>
      </w:tc>
      <w:tc>
        <w:tcPr>
          <w:tcW w:w="992" w:type="dxa"/>
        </w:tcPr>
        <w:p w:rsidR="002F01F5" w:rsidRPr="00D13CF7" w:rsidRDefault="002F01F5" w:rsidP="002F01F5">
          <w:pPr>
            <w:jc w:val="center"/>
            <w:rPr>
              <w:rFonts w:ascii="Times New Roman" w:eastAsia="Calibri" w:hAnsi="Times New Roman" w:cs="Times New Roman"/>
              <w:b/>
              <w:sz w:val="20"/>
              <w:szCs w:val="20"/>
            </w:rPr>
          </w:pPr>
          <w:r w:rsidRPr="00D13CF7">
            <w:rPr>
              <w:rFonts w:ascii="Times New Roman" w:eastAsia="Calibri" w:hAnsi="Times New Roman" w:cs="Times New Roman"/>
              <w:b/>
              <w:sz w:val="20"/>
              <w:szCs w:val="20"/>
            </w:rPr>
            <w:t>SAYFA</w:t>
          </w:r>
        </w:p>
        <w:p w:rsidR="002F01F5" w:rsidRPr="00D13CF7" w:rsidRDefault="002F01F5" w:rsidP="002F01F5">
          <w:pPr>
            <w:jc w:val="center"/>
            <w:rPr>
              <w:rFonts w:ascii="Calibri" w:eastAsia="Calibri" w:hAnsi="Calibri" w:cs="Times New Roman"/>
            </w:rPr>
          </w:pPr>
          <w:r w:rsidRPr="00D13CF7">
            <w:rPr>
              <w:rFonts w:ascii="Times New Roman" w:eastAsia="Calibri" w:hAnsi="Times New Roman" w:cs="Times New Roman"/>
              <w:b/>
              <w:sz w:val="20"/>
              <w:szCs w:val="20"/>
            </w:rPr>
            <w:t>NO</w:t>
          </w:r>
        </w:p>
      </w:tc>
      <w:tc>
        <w:tcPr>
          <w:tcW w:w="2126" w:type="dxa"/>
          <w:vMerge/>
        </w:tcPr>
        <w:p w:rsidR="002F01F5" w:rsidRPr="00D13CF7" w:rsidRDefault="002F01F5" w:rsidP="002F01F5">
          <w:pPr>
            <w:rPr>
              <w:rFonts w:ascii="Calibri" w:eastAsia="Calibri" w:hAnsi="Calibri" w:cs="Times New Roman"/>
            </w:rPr>
          </w:pPr>
        </w:p>
      </w:tc>
    </w:tr>
    <w:tr w:rsidR="002F01F5" w:rsidRPr="004A5530" w:rsidTr="00EE4CCE">
      <w:trPr>
        <w:trHeight w:val="214"/>
      </w:trPr>
      <w:tc>
        <w:tcPr>
          <w:tcW w:w="2127" w:type="dxa"/>
          <w:vMerge/>
        </w:tcPr>
        <w:p w:rsidR="002F01F5" w:rsidRPr="004A5530" w:rsidRDefault="002F01F5" w:rsidP="002F01F5">
          <w:pPr>
            <w:jc w:val="center"/>
            <w:rPr>
              <w:rFonts w:ascii="Times New Roman" w:eastAsia="Calibri" w:hAnsi="Times New Roman" w:cs="Times New Roman"/>
              <w:sz w:val="20"/>
              <w:szCs w:val="20"/>
            </w:rPr>
          </w:pPr>
        </w:p>
      </w:tc>
      <w:tc>
        <w:tcPr>
          <w:tcW w:w="1417" w:type="dxa"/>
        </w:tcPr>
        <w:p w:rsidR="002F01F5" w:rsidRPr="004A5530" w:rsidRDefault="002F01F5" w:rsidP="002F01F5">
          <w:pPr>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GGİ.YD</w:t>
          </w:r>
          <w:proofErr w:type="gramEnd"/>
          <w:r>
            <w:rPr>
              <w:rFonts w:ascii="Times New Roman" w:eastAsia="Calibri" w:hAnsi="Times New Roman" w:cs="Times New Roman"/>
              <w:sz w:val="20"/>
              <w:szCs w:val="20"/>
            </w:rPr>
            <w:t>.17</w:t>
          </w:r>
        </w:p>
      </w:tc>
      <w:tc>
        <w:tcPr>
          <w:tcW w:w="1134" w:type="dxa"/>
        </w:tcPr>
        <w:p w:rsidR="002F01F5" w:rsidRPr="004A5530" w:rsidRDefault="002F01F5" w:rsidP="002F01F5">
          <w:pPr>
            <w:jc w:val="center"/>
            <w:rPr>
              <w:rFonts w:ascii="Times New Roman" w:eastAsia="Calibri" w:hAnsi="Times New Roman" w:cs="Times New Roman"/>
              <w:sz w:val="20"/>
              <w:szCs w:val="20"/>
            </w:rPr>
          </w:pPr>
          <w:r>
            <w:rPr>
              <w:rFonts w:ascii="Times New Roman" w:eastAsia="Calibri" w:hAnsi="Times New Roman" w:cs="Times New Roman"/>
              <w:sz w:val="20"/>
              <w:szCs w:val="20"/>
            </w:rPr>
            <w:t>10.11.2021</w:t>
          </w:r>
        </w:p>
      </w:tc>
      <w:tc>
        <w:tcPr>
          <w:tcW w:w="1330" w:type="dxa"/>
          <w:tcBorders>
            <w:top w:val="single" w:sz="4" w:space="0" w:color="auto"/>
            <w:left w:val="single" w:sz="4" w:space="0" w:color="auto"/>
            <w:bottom w:val="single" w:sz="4" w:space="0" w:color="auto"/>
            <w:right w:val="single" w:sz="4" w:space="0" w:color="auto"/>
          </w:tcBorders>
        </w:tcPr>
        <w:p w:rsidR="002F01F5" w:rsidRDefault="002F01F5" w:rsidP="002F01F5">
          <w:pPr>
            <w:jc w:val="center"/>
            <w:rPr>
              <w:rFonts w:ascii="Times New Roman" w:eastAsia="Calibri" w:hAnsi="Times New Roman" w:cs="Times New Roman"/>
              <w:sz w:val="20"/>
              <w:szCs w:val="20"/>
            </w:rPr>
          </w:pPr>
          <w:r>
            <w:rPr>
              <w:rFonts w:ascii="Times New Roman" w:eastAsia="Calibri" w:hAnsi="Times New Roman" w:cs="Times New Roman"/>
              <w:sz w:val="20"/>
              <w:szCs w:val="20"/>
            </w:rPr>
            <w:t>20.09.2024</w:t>
          </w:r>
        </w:p>
      </w:tc>
      <w:tc>
        <w:tcPr>
          <w:tcW w:w="1364" w:type="dxa"/>
          <w:tcBorders>
            <w:top w:val="single" w:sz="4" w:space="0" w:color="auto"/>
            <w:left w:val="single" w:sz="4" w:space="0" w:color="auto"/>
            <w:bottom w:val="single" w:sz="4" w:space="0" w:color="auto"/>
            <w:right w:val="single" w:sz="4" w:space="0" w:color="auto"/>
          </w:tcBorders>
        </w:tcPr>
        <w:p w:rsidR="002F01F5" w:rsidRDefault="002F01F5" w:rsidP="002F01F5">
          <w:pPr>
            <w:jc w:val="center"/>
            <w:rPr>
              <w:rFonts w:ascii="Times New Roman" w:eastAsia="Calibri" w:hAnsi="Times New Roman" w:cs="Times New Roman"/>
              <w:sz w:val="20"/>
              <w:szCs w:val="20"/>
            </w:rPr>
          </w:pPr>
          <w:r>
            <w:rPr>
              <w:rFonts w:ascii="Times New Roman" w:eastAsia="Calibri" w:hAnsi="Times New Roman" w:cs="Times New Roman"/>
              <w:sz w:val="20"/>
              <w:szCs w:val="20"/>
            </w:rPr>
            <w:t>02</w:t>
          </w:r>
        </w:p>
      </w:tc>
      <w:tc>
        <w:tcPr>
          <w:tcW w:w="992" w:type="dxa"/>
        </w:tcPr>
        <w:p w:rsidR="002F01F5" w:rsidRPr="004A5530" w:rsidRDefault="002F01F5" w:rsidP="002F01F5">
          <w:pPr>
            <w:jc w:val="center"/>
            <w:rPr>
              <w:rFonts w:ascii="Times New Roman" w:eastAsia="Calibri" w:hAnsi="Times New Roman" w:cs="Times New Roman"/>
              <w:sz w:val="20"/>
              <w:szCs w:val="20"/>
            </w:rPr>
          </w:pPr>
          <w:r>
            <w:rPr>
              <w:rFonts w:ascii="Times New Roman" w:eastAsia="Calibri" w:hAnsi="Times New Roman" w:cs="Times New Roman"/>
              <w:sz w:val="20"/>
              <w:szCs w:val="20"/>
            </w:rPr>
            <w:t>01</w:t>
          </w:r>
        </w:p>
      </w:tc>
      <w:tc>
        <w:tcPr>
          <w:tcW w:w="2126" w:type="dxa"/>
          <w:vMerge/>
        </w:tcPr>
        <w:p w:rsidR="002F01F5" w:rsidRPr="004A5530" w:rsidRDefault="002F01F5" w:rsidP="002F01F5">
          <w:pPr>
            <w:jc w:val="center"/>
            <w:rPr>
              <w:rFonts w:ascii="Times New Roman" w:eastAsia="Calibri" w:hAnsi="Times New Roman" w:cs="Times New Roman"/>
              <w:sz w:val="20"/>
              <w:szCs w:val="20"/>
            </w:rPr>
          </w:pPr>
        </w:p>
      </w:tc>
    </w:tr>
  </w:tbl>
  <w:p w:rsidR="002F01F5" w:rsidRDefault="002F01F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64"/>
    <w:rsid w:val="00036C4B"/>
    <w:rsid w:val="000529DA"/>
    <w:rsid w:val="000D5BBE"/>
    <w:rsid w:val="000E0222"/>
    <w:rsid w:val="00121055"/>
    <w:rsid w:val="00153C6D"/>
    <w:rsid w:val="001E6E93"/>
    <w:rsid w:val="002367A0"/>
    <w:rsid w:val="0024000D"/>
    <w:rsid w:val="00297BAA"/>
    <w:rsid w:val="002B14E9"/>
    <w:rsid w:val="002B73F1"/>
    <w:rsid w:val="002F01F5"/>
    <w:rsid w:val="003E2F37"/>
    <w:rsid w:val="0041583F"/>
    <w:rsid w:val="0044647D"/>
    <w:rsid w:val="00455255"/>
    <w:rsid w:val="004D2BA4"/>
    <w:rsid w:val="00513F24"/>
    <w:rsid w:val="00545160"/>
    <w:rsid w:val="00566E64"/>
    <w:rsid w:val="005860BF"/>
    <w:rsid w:val="00591D30"/>
    <w:rsid w:val="005C7EF3"/>
    <w:rsid w:val="00623350"/>
    <w:rsid w:val="00674D9F"/>
    <w:rsid w:val="00694417"/>
    <w:rsid w:val="0071385D"/>
    <w:rsid w:val="007F64E5"/>
    <w:rsid w:val="00830C2F"/>
    <w:rsid w:val="008E4B3F"/>
    <w:rsid w:val="008F2A41"/>
    <w:rsid w:val="009105AC"/>
    <w:rsid w:val="00955040"/>
    <w:rsid w:val="00982FD3"/>
    <w:rsid w:val="009A338B"/>
    <w:rsid w:val="00A06393"/>
    <w:rsid w:val="00A25B0A"/>
    <w:rsid w:val="00A27FE8"/>
    <w:rsid w:val="00A57E53"/>
    <w:rsid w:val="00A71A2D"/>
    <w:rsid w:val="00B41F15"/>
    <w:rsid w:val="00B70EC2"/>
    <w:rsid w:val="00BE459C"/>
    <w:rsid w:val="00BE6D80"/>
    <w:rsid w:val="00C7135E"/>
    <w:rsid w:val="00C809C8"/>
    <w:rsid w:val="00C958F2"/>
    <w:rsid w:val="00CD0512"/>
    <w:rsid w:val="00CF7322"/>
    <w:rsid w:val="00D8458F"/>
    <w:rsid w:val="00E43088"/>
    <w:rsid w:val="00E861E0"/>
    <w:rsid w:val="00EA3C3C"/>
    <w:rsid w:val="00ED5580"/>
    <w:rsid w:val="00F01B73"/>
    <w:rsid w:val="00F92B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2188165-51EF-49F9-AF82-188EF7CC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0E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0EC2"/>
  </w:style>
  <w:style w:type="paragraph" w:styleId="AltBilgi">
    <w:name w:val="footer"/>
    <w:basedOn w:val="Normal"/>
    <w:link w:val="AltBilgiChar"/>
    <w:uiPriority w:val="99"/>
    <w:unhideWhenUsed/>
    <w:rsid w:val="00B70E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0EC2"/>
  </w:style>
  <w:style w:type="table" w:customStyle="1" w:styleId="TabloKlavuzu2">
    <w:name w:val="Tablo Kılavuzu2"/>
    <w:basedOn w:val="NormalTablo"/>
    <w:next w:val="TabloKlavuzu"/>
    <w:uiPriority w:val="39"/>
    <w:rsid w:val="00B70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B7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71A2D"/>
    <w:pPr>
      <w:ind w:left="720"/>
      <w:contextualSpacing/>
    </w:pPr>
  </w:style>
  <w:style w:type="table" w:customStyle="1" w:styleId="TabloKlavuzu1">
    <w:name w:val="Tablo Kılavuzu1"/>
    <w:basedOn w:val="NormalTablo"/>
    <w:next w:val="TabloKlavuzu"/>
    <w:uiPriority w:val="39"/>
    <w:rsid w:val="004D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39"/>
    <w:rsid w:val="002F01F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70996">
      <w:bodyDiv w:val="1"/>
      <w:marLeft w:val="0"/>
      <w:marRight w:val="0"/>
      <w:marTop w:val="0"/>
      <w:marBottom w:val="0"/>
      <w:divBdr>
        <w:top w:val="none" w:sz="0" w:space="0" w:color="auto"/>
        <w:left w:val="none" w:sz="0" w:space="0" w:color="auto"/>
        <w:bottom w:val="none" w:sz="0" w:space="0" w:color="auto"/>
        <w:right w:val="none" w:sz="0" w:space="0" w:color="auto"/>
      </w:divBdr>
    </w:div>
    <w:div w:id="193274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401</Words>
  <Characters>2287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24</cp:revision>
  <dcterms:created xsi:type="dcterms:W3CDTF">2021-05-04T11:50:00Z</dcterms:created>
  <dcterms:modified xsi:type="dcterms:W3CDTF">2025-03-07T11:57:00Z</dcterms:modified>
</cp:coreProperties>
</file>