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E5B" w:rsidRDefault="00637E5B" w:rsidP="00637E5B">
      <w:pPr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 xml:space="preserve">İSTATİSTİK </w:t>
      </w:r>
      <w:r w:rsidRPr="006A6EE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BÖLÜMÜ SON ÜÇ YILDA ULUSLARARASI HAKEMLİ </w:t>
      </w:r>
      <w:bookmarkStart w:id="0" w:name="_GoBack"/>
      <w:bookmarkEnd w:id="0"/>
      <w:r w:rsidRPr="006A6EE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DERGİLERDE </w:t>
      </w:r>
      <w:r w:rsidRPr="00C026F0">
        <w:rPr>
          <w:rFonts w:ascii="Times New Roman" w:hAnsi="Times New Roman" w:cs="Times New Roman"/>
          <w:b/>
          <w:color w:val="0000FF"/>
          <w:sz w:val="24"/>
          <w:szCs w:val="24"/>
        </w:rPr>
        <w:t>YAYINLANAN MAKALELER</w:t>
      </w:r>
    </w:p>
    <w:p w:rsidR="00637E5B" w:rsidRDefault="00637E5B" w:rsidP="00637E5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637E5B" w:rsidRPr="00C026F0" w:rsidRDefault="00637E5B" w:rsidP="00637E5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color w:val="0000FF"/>
          <w:sz w:val="24"/>
          <w:szCs w:val="24"/>
        </w:rPr>
        <w:t>2024</w:t>
      </w:r>
    </w:p>
    <w:p w:rsidR="00637E5B" w:rsidRDefault="00637E5B" w:rsidP="00637E5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4FD6">
        <w:rPr>
          <w:rFonts w:ascii="Times New Roman" w:hAnsi="Times New Roman" w:cs="Times New Roman"/>
          <w:color w:val="0000FF"/>
          <w:sz w:val="24"/>
          <w:szCs w:val="24"/>
        </w:rPr>
        <w:t>Gokce</w:t>
      </w:r>
      <w:proofErr w:type="spellEnd"/>
      <w:r w:rsidRPr="00C74FD6">
        <w:rPr>
          <w:rFonts w:ascii="Times New Roman" w:hAnsi="Times New Roman" w:cs="Times New Roman"/>
          <w:color w:val="0000FF"/>
          <w:sz w:val="24"/>
          <w:szCs w:val="24"/>
        </w:rPr>
        <w:t>, F</w:t>
      </w:r>
      <w:proofErr w:type="gramStart"/>
      <w:r w:rsidRPr="00C74FD6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C74FD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Sarigol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, M.A., FK-SPACES CONTAINING ABSOLUTELY&lt;i&gt; k&lt;/i&gt;-SUMMABLE SERIES SPACE AND MATRIX OPERATORS, TRANSACTIONS OF A RAZMADZE MATHEMATICAL INSTITUTE, 178(3), 433-441</w:t>
      </w:r>
    </w:p>
    <w:p w:rsidR="00637E5B" w:rsidRDefault="00637E5B" w:rsidP="00637E5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Karacan, R</w:t>
      </w:r>
      <w:proofErr w:type="gram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FD6">
        <w:rPr>
          <w:rFonts w:ascii="Times New Roman" w:hAnsi="Times New Roman" w:cs="Times New Roman"/>
          <w:color w:val="0000FF"/>
          <w:sz w:val="24"/>
          <w:szCs w:val="24"/>
        </w:rPr>
        <w:t>Kayacan, E.Y.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How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environmentally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friendly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electric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cars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relationship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between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lithium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usage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water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resources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Chile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example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, MANAGERIAL AND DECISION ECONOMICS, 45(8), 8, 5346-5358,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10.1002/mde.4324</w:t>
      </w:r>
    </w:p>
    <w:p w:rsidR="00637E5B" w:rsidRDefault="00637E5B" w:rsidP="00637E5B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Metin, Z</w:t>
      </w:r>
      <w:proofErr w:type="gram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.,</w:t>
      </w:r>
      <w:proofErr w:type="gram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Akca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H.A., Tur, K., </w:t>
      </w:r>
      <w:proofErr w:type="spellStart"/>
      <w:r w:rsidRPr="00C74FD6">
        <w:rPr>
          <w:rFonts w:ascii="Times New Roman" w:hAnsi="Times New Roman" w:cs="Times New Roman"/>
          <w:color w:val="0000FF"/>
          <w:sz w:val="24"/>
          <w:szCs w:val="24"/>
        </w:rPr>
        <w:t>Akogul</w:t>
      </w:r>
      <w:proofErr w:type="spellEnd"/>
      <w:r w:rsidRPr="00C74FD6">
        <w:rPr>
          <w:rFonts w:ascii="Times New Roman" w:hAnsi="Times New Roman" w:cs="Times New Roman"/>
          <w:color w:val="0000FF"/>
          <w:sz w:val="24"/>
          <w:szCs w:val="24"/>
        </w:rPr>
        <w:t xml:space="preserve">, S.,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Intersecting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pathways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evaluating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inflammatory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markers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metabolism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chronic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spontaneous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urticaria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multi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-marker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approach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, INTERNATIONAL JOURNAL OF DERMATOLOGY, 63(5), 604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610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Doi</w:t>
      </w:r>
      <w:proofErr w:type="spellEnd"/>
      <w:r w:rsidRPr="008C236D">
        <w:rPr>
          <w:rFonts w:ascii="Times New Roman" w:hAnsi="Times New Roman" w:cs="Times New Roman"/>
          <w:color w:val="000000" w:themeColor="text1"/>
          <w:sz w:val="24"/>
          <w:szCs w:val="24"/>
        </w:rPr>
        <w:t>: 10.1111/ijd.17147</w:t>
      </w:r>
    </w:p>
    <w:p w:rsidR="00637E5B" w:rsidRPr="00C74FD6" w:rsidRDefault="00637E5B" w:rsidP="00637E5B">
      <w:pPr>
        <w:jc w:val="both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C74FD6">
        <w:rPr>
          <w:rFonts w:ascii="Times New Roman" w:hAnsi="Times New Roman" w:cs="Times New Roman"/>
          <w:b/>
          <w:color w:val="0000FF"/>
          <w:sz w:val="24"/>
          <w:szCs w:val="24"/>
        </w:rPr>
        <w:t>2023</w:t>
      </w:r>
    </w:p>
    <w:p w:rsidR="00637E5B" w:rsidRPr="00C74FD6" w:rsidRDefault="00637E5B" w:rsidP="00637E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C74FD6">
        <w:rPr>
          <w:rFonts w:ascii="Times New Roman" w:hAnsi="Times New Roman" w:cs="Times New Roman"/>
          <w:color w:val="0000FF"/>
          <w:sz w:val="24"/>
          <w:szCs w:val="24"/>
        </w:rPr>
        <w:t>Akogul</w:t>
      </w:r>
      <w:proofErr w:type="spellEnd"/>
      <w:r w:rsidRPr="00C74FD6">
        <w:rPr>
          <w:rFonts w:ascii="Times New Roman" w:hAnsi="Times New Roman" w:cs="Times New Roman"/>
          <w:color w:val="0000FF"/>
          <w:sz w:val="24"/>
          <w:szCs w:val="24"/>
        </w:rPr>
        <w:t>, S</w:t>
      </w:r>
      <w:proofErr w:type="gramStart"/>
      <w:r w:rsidRPr="00C74FD6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C74FD6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Novel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Approach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to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Increase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Efficiency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Filter-Based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Feature</w:t>
      </w:r>
      <w:proofErr w:type="spellEnd"/>
      <w:r w:rsidRPr="00C74F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Selection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Methods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High-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Dimensional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Datasets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With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Strong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Correlation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Structure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, IEEE ACCESS, 11, 115025-115032, Doi:10.1109/ACCESS.2023.3325331</w:t>
      </w:r>
    </w:p>
    <w:p w:rsidR="00637E5B" w:rsidRPr="00C74FD6" w:rsidRDefault="00637E5B" w:rsidP="00637E5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74FD6">
        <w:rPr>
          <w:rFonts w:ascii="Times New Roman" w:hAnsi="Times New Roman" w:cs="Times New Roman"/>
          <w:color w:val="0000FF"/>
          <w:sz w:val="24"/>
          <w:szCs w:val="24"/>
        </w:rPr>
        <w:t>Gokce</w:t>
      </w:r>
      <w:proofErr w:type="spellEnd"/>
      <w:r w:rsidRPr="00C74FD6">
        <w:rPr>
          <w:rFonts w:ascii="Times New Roman" w:hAnsi="Times New Roman" w:cs="Times New Roman"/>
          <w:color w:val="0000FF"/>
          <w:sz w:val="24"/>
          <w:szCs w:val="24"/>
        </w:rPr>
        <w:t>, F</w:t>
      </w:r>
      <w:proofErr w:type="gramStart"/>
      <w:r w:rsidRPr="00C74FD6">
        <w:rPr>
          <w:rFonts w:ascii="Times New Roman" w:hAnsi="Times New Roman" w:cs="Times New Roman"/>
          <w:color w:val="0000FF"/>
          <w:sz w:val="24"/>
          <w:szCs w:val="24"/>
        </w:rPr>
        <w:t>.,</w:t>
      </w:r>
      <w:proofErr w:type="gramEnd"/>
      <w:r w:rsidRPr="00C74FD6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Compactness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matrix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operators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absolute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fibonacci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series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spaces</w:t>
      </w:r>
      <w:proofErr w:type="spellEnd"/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, AFRIKA MATEMATIKA, 34(4), 68,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oi:</w:t>
      </w:r>
      <w:r w:rsidRPr="00C74FD6">
        <w:rPr>
          <w:rFonts w:ascii="Times New Roman" w:hAnsi="Times New Roman" w:cs="Times New Roman"/>
          <w:color w:val="000000" w:themeColor="text1"/>
          <w:sz w:val="24"/>
          <w:szCs w:val="24"/>
        </w:rPr>
        <w:t>10.1007/s13370-023-01108-x</w:t>
      </w:r>
    </w:p>
    <w:p w:rsidR="0063018D" w:rsidRDefault="0063018D"/>
    <w:sectPr w:rsidR="00630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92086"/>
    <w:multiLevelType w:val="hybridMultilevel"/>
    <w:tmpl w:val="536CC694"/>
    <w:lvl w:ilvl="0" w:tplc="D4BCEC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E207D"/>
    <w:multiLevelType w:val="hybridMultilevel"/>
    <w:tmpl w:val="825C9E20"/>
    <w:lvl w:ilvl="0" w:tplc="D27A2D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3BD"/>
    <w:rsid w:val="0063018D"/>
    <w:rsid w:val="00637E5B"/>
    <w:rsid w:val="00E0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CA7B76"/>
  <w15:chartTrackingRefBased/>
  <w15:docId w15:val="{2F20760B-D3AE-4C81-9A05-E5D33AA2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E5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7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2025-02-17T14:10:00Z</dcterms:created>
  <dcterms:modified xsi:type="dcterms:W3CDTF">2025-02-17T14:10:00Z</dcterms:modified>
</cp:coreProperties>
</file>