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2024/07</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01.03.2024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11:00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Yıllık çalışma planının yapılması.</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EGEKAF Ölçme ve Değerlendirme Formunun gözden geçirilmesi.</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Ölçme ve Değerlendirme Komisyonunun hazırladığı EGEKAF Ölçme ve Değerlendirme Formu komisyon tarafından gözden geçirildi ve revize edildi.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Formun öğrencilere ulaştırılması için uygun ders saatlerinin planlaması ve görev dağılımı yapıldı.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Yıllık çalışma planı görüşüldü. Bir sonraki toplantıda değerlendirilmesine karar verildi.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9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