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2024/17</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06.09.2024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10:30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Toplantı odası</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PUKO formlarının dijital ortamda girilmesi </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Her bir faaliyet kolu için bir sorumlu belirlenmesi   </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Pusula sistemi üzerinden değerlendirme raporlarının incelenmesi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2023-2024 eğitim-öğretim yılı güz ve bahar dönemleri Ders Değerlendirme, Ders Öğrenme Kazanımı, İş Yükü Anketlerinin sonuçları ve Öğrenci Başarı Oranları değerlendirilmiştir.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Ders değerlendirme anketi</w:t>
                  </w:r>
                  <w:r>
                    <w:rPr>
                      <w:rFonts w:ascii="Arial" w:hAnsi="Arial" w:eastAsia="Arial"/>
                      <w:color w:val="000000"/>
                      <w:sz w:val="20"/>
                    </w:rPr>
                    <w:br/>
                    <w:t xml:space="preserve">https://obis.pusula.pau.edu.tr/DegerlendirmeAnketi/OgretimElemaniGenelSonuc.aspx</w:t>
                  </w:r>
                  <w:r>
                    <w:rPr>
                      <w:rFonts w:ascii="Arial" w:hAnsi="Arial" w:eastAsia="Arial"/>
                      <w:color w:val="000000"/>
                      <w:sz w:val="20"/>
                    </w:rPr>
                    <w:br/>
                    <w:t xml:space="preserve">Bölüm genel ortalaması 2023-2024 güz yarı yılında (4.23), üniversite genel ortalamasına (4.07) göre daha yüksektir. Bölüm genel ortalaması 2023-2024 bahar yarı yılında (3.98), üniversite genel ortalamasına (4.07) göre daha düşüktür. Her iki dönemde de ankete katılım sağlayan öğrenci sayısı, derse kayıtlı öğrenci sayısına göre düşüktür. Ana dersler, dersi veren öğretim elemanlarının üzerinde şubelendirilerek gösterildiği için genel bir ders değerlendirmesini yansıtmamaktadır.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Ders Öğrenme Kazanımı Anket Sonuçları</w:t>
                  </w:r>
                  <w:r>
                    <w:rPr>
                      <w:rFonts w:ascii="Arial" w:hAnsi="Arial" w:eastAsia="Arial"/>
                      <w:color w:val="000000"/>
                      <w:sz w:val="20"/>
                    </w:rPr>
                    <w:br/>
                    <w:t xml:space="preserve">https://obis.pusula.pau.edu.tr/Raporlar/RaporAlma.aspx?r=AKADEMIK_DersOgrenmeKazanimAnketYanitListesi</w:t>
                  </w:r>
                  <w:r>
                    <w:rPr>
                      <w:rFonts w:ascii="Arial" w:hAnsi="Arial" w:eastAsia="Arial"/>
                      <w:color w:val="000000"/>
                      <w:sz w:val="20"/>
                    </w:rPr>
                    <w:br/>
                    <w:t xml:space="preserve">2023-2024 güz yarı yılında, dört üzerinden değerlendirilen anket sonuçlarına göre genel ortalamanın yaklaşık 3.5 olduğu ancak bazı derslerde öğrenci katılımının düşük olduğu görülmüştür. 2023-2024 bahar yarı yılında, dört üzerinden değerlendirilen anket sonuçlarına göre genel ortalamanın yaklaşık 3.3 olduğu ancak bazı derslerde öğrenci katılımının düşük olduğu görülmüştür.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Öğrenci Başarı Oranları</w:t>
                  </w:r>
                  <w:r>
                    <w:rPr>
                      <w:rFonts w:ascii="Arial" w:hAnsi="Arial" w:eastAsia="Arial"/>
                      <w:color w:val="000000"/>
                      <w:sz w:val="20"/>
                    </w:rPr>
                    <w:br/>
                    <w:t xml:space="preserve">https://app.pusula.pau.edu.tr/kdm/OgrenciVerileri/OgrenciBasariOranlari.aspx</w:t>
                  </w:r>
                  <w:r>
                    <w:rPr>
                      <w:rFonts w:ascii="Arial" w:hAnsi="Arial" w:eastAsia="Arial"/>
                      <w:color w:val="000000"/>
                      <w:sz w:val="20"/>
                    </w:rPr>
                    <w:br/>
                  </w:r>
                  <w:r>
                    <w:rPr>
                      <w:rFonts w:ascii="Arial" w:hAnsi="Arial" w:eastAsia="Arial"/>
                      <w:color w:val="000000"/>
                      <w:sz w:val="20"/>
                    </w:rPr>
                    <w:br/>
                    <w:t xml:space="preserve">           Öğrenci başarı oranı raporunda, derslerin pratik ve teorik olarak kredileri, öğrenci yükü (teorik ders kredisinin tamamı ile pratik ders kredisinin yarısının toplamı), dersi alan toplam öğrenci sayısı, derste başarılı olan öğrenci sayısı ve dersin başarı oranı (başarılı olan öğrenci yüzdesi) dönem bazında listelenmektedir. 2023-2024 güz yarı yılında üniversite geneli başarı ortalamasının 0.7, fakültemiz başarı ortalamasının 0.94 olduğu görülmüştür. 2023-2024 bahar yarı yılında üniversite geneli başarı ortalamasının 0.64, fakültemiz başarı ortalamasının 0.94 olduğu görülmüştür. </w:t>
                  </w:r>
                  <w:r>
                    <w:rPr>
                      <w:rFonts w:ascii="Arial" w:hAnsi="Arial" w:eastAsia="Arial"/>
                      <w:color w:val="000000"/>
                      <w:sz w:val="20"/>
                    </w:rPr>
                    <w:br/>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Öğrenci AKTS İş Yükü Anket Sonuçları</w:t>
                  </w:r>
                  <w:r>
                    <w:rPr>
                      <w:rFonts w:ascii="Arial" w:hAnsi="Arial" w:eastAsia="Arial"/>
                      <w:color w:val="000000"/>
                      <w:sz w:val="20"/>
                    </w:rPr>
                    <w:br/>
                    <w:t xml:space="preserve">https://ebs.pusula.pau.edu.tr/Raporlar/AktsIsYukIzle.aspx</w:t>
                  </w:r>
                  <w:r>
                    <w:rPr>
                      <w:rFonts w:ascii="Arial" w:hAnsi="Arial" w:eastAsia="Arial"/>
                      <w:color w:val="000000"/>
                      <w:sz w:val="20"/>
                    </w:rPr>
                    <w:br/>
                    <w:t xml:space="preserve">Ankete katılımın 15 öğrenciden az olduğu dersler için iş yükü değerlendirilememiştir. Değerlendirilen dersler incelendiğinde teorik derslerin iş yükü değerlendirmelerinde çok büyük farklılık gözlenmemiştir. Teorik uygulamalı derslerin ve Intern uygulamalarının hiçbirinde öğrenciler tarafından iş yükü değerlendirilmesi yapılmamıştır.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Akreditasyon süreci kapsamında oluşturulan formlarla, 2024-2025 eğitim-öğretim yılında ders değerlendirmesi, öğretim elemanı değerlendirmesi gibi değerlendirmeler daha ayrıntılı bir şekilde uygulanabilecektir. İyileştirmeler, bu kapsamda daha net yapılabilecektir. Üniversite ve fakülte genelinde yapılan anketlerde özellikle öğrenci katılımının arttırılmasına yönelik oryantasyon programı, ders öğretim elemanları, öğrenci toplantıları aracılığı ile bilgilendirilme yapılması önerilmiştir.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 Oluşturulan PUKÖ formlarının, kalite birimindeki her süreç sorumlusunun denetiminde izlenmesi kararlaştırılmıştır. </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