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40" w:rsidRPr="00AB7E40" w:rsidRDefault="00AB7E40" w:rsidP="00AB7E4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T.C.</w:t>
      </w:r>
      <w:r w:rsidRPr="00AB7E40">
        <w:rPr>
          <w:rFonts w:ascii="Calibri" w:eastAsia="Times New Roman" w:hAnsi="Calibri" w:cs="Calibri"/>
          <w:b/>
          <w:lang w:eastAsia="tr-TR"/>
        </w:rPr>
        <w:br/>
        <w:t>PAMUKKALE ÜNİVERSİTESİ</w:t>
      </w:r>
      <w:r w:rsidRPr="00AB7E40">
        <w:rPr>
          <w:rFonts w:ascii="Calibri" w:eastAsia="Times New Roman" w:hAnsi="Calibri" w:cs="Calibri"/>
          <w:b/>
          <w:lang w:eastAsia="tr-TR"/>
        </w:rPr>
        <w:br/>
        <w:t>MÜZİK VE SAHNE SANATLARI FAKÜLTESİ</w:t>
      </w:r>
      <w:r w:rsidRPr="00AB7E40">
        <w:rPr>
          <w:rFonts w:ascii="Calibri" w:eastAsia="Times New Roman" w:hAnsi="Calibri" w:cs="Calibri"/>
          <w:b/>
          <w:lang w:eastAsia="tr-TR"/>
        </w:rPr>
        <w:br/>
        <w:t>MÜZİK BÖLÜMÜ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BURS KOMİSYONU USUL VE ESASLARI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BİRİNCİ BÖLÜM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(Amaç, Kapsam ve Tanımlar)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AMAÇ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Madde 1-</w:t>
      </w:r>
      <w:r w:rsidRPr="00AB7E40">
        <w:rPr>
          <w:rFonts w:ascii="Calibri" w:eastAsia="Times New Roman" w:hAnsi="Calibri" w:cs="Calibri"/>
          <w:lang w:eastAsia="tr-TR"/>
        </w:rPr>
        <w:t xml:space="preserve"> Bu çalışma esaslarının amacı; Pamukkale Üniversitesi Müzik ve Sahne Sanatları Fakültesi Müzik Bölümü Burs Komisyonu’nun çalışma esaslarını belirlemektir.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KAPSAM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Madde 2-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Müzik Bölümü Burs Komisyonu’nun oluşumunu, işleyişini, görev ve sorumluluklarının ne olduğunu, yetkilerini, kararlarının uygulanmasını ve takibini kapsar.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TANIMLAR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Madde 3-</w:t>
      </w:r>
      <w:r w:rsidRPr="00AB7E40">
        <w:rPr>
          <w:rFonts w:ascii="Calibri" w:eastAsia="Times New Roman" w:hAnsi="Calibri" w:cs="Calibri"/>
          <w:lang w:eastAsia="tr-TR"/>
        </w:rPr>
        <w:t xml:space="preserve"> Bu çalışma esaslarının uygulanmasında yer alan tanımlar aşağıdaki gibidir.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a) Fakülte: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Fakültesi’ni,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b) Bölüm:</w:t>
      </w:r>
      <w:r w:rsidRPr="00AB7E40">
        <w:rPr>
          <w:rFonts w:ascii="Calibri" w:eastAsia="Times New Roman" w:hAnsi="Calibri" w:cs="Calibri"/>
          <w:lang w:eastAsia="tr-TR"/>
        </w:rPr>
        <w:t xml:space="preserve"> Müzik Bölümü’nü,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c) Burs Komisyonu: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Müzik Bölümü’nde burs çalışmalarının düzenlenmesi ve yürütülmesinden sorumlu olan komisyonu,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ç) Komisyon Başkanı: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Burs Komisyonu başkanını,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d) Komisyon Üyeleri: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Burs Komisyonu üyelerini,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e) Sorumlu Yönetici: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Müzik Bölüm Başkanını,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f) Komisyon Raportörü: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Burs Komisyonu </w:t>
      </w:r>
      <w:proofErr w:type="gramStart"/>
      <w:r w:rsidRPr="00AB7E40">
        <w:rPr>
          <w:rFonts w:ascii="Calibri" w:eastAsia="Times New Roman" w:hAnsi="Calibri" w:cs="Calibri"/>
          <w:lang w:eastAsia="tr-TR"/>
        </w:rPr>
        <w:t>raportörünü</w:t>
      </w:r>
      <w:proofErr w:type="gramEnd"/>
      <w:r w:rsidRPr="00AB7E40">
        <w:rPr>
          <w:rFonts w:ascii="Calibri" w:eastAsia="Times New Roman" w:hAnsi="Calibri" w:cs="Calibri"/>
          <w:lang w:eastAsia="tr-TR"/>
        </w:rPr>
        <w:t>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g) Bölüm Başkanlığı: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Müzik Bölüm Başkanlığı’nı,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ğ) Akademik Danışman: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Müzik Bölümü öğrencilerine akademik danışmanlık veren öğretim elemanlarını,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h) Öğrenci: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Müzik Bölümü lisans programı öğrencilerini,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ı) Öğrenci İşleri: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Müzik Bölümündeki öğrenci işlerinden sorumlu/öğrenci işlerini yürüten idari personeli,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i) Dekanlık:</w:t>
      </w:r>
      <w:r w:rsidRPr="00AB7E40">
        <w:rPr>
          <w:rFonts w:ascii="Calibri" w:eastAsia="Times New Roman" w:hAnsi="Calibri" w:cs="Calibri"/>
          <w:lang w:eastAsia="tr-TR"/>
        </w:rPr>
        <w:t xml:space="preserve"> Pamukkale Üniversitesi Müzik ve Sahne Sanatları Fakültesi Dekanlığını,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j) Burs:</w:t>
      </w:r>
      <w:r w:rsidRPr="00AB7E40">
        <w:rPr>
          <w:rFonts w:ascii="Calibri" w:eastAsia="Times New Roman" w:hAnsi="Calibri" w:cs="Calibri"/>
          <w:lang w:eastAsia="tr-TR"/>
        </w:rPr>
        <w:t xml:space="preserve"> Yüksek Öğrenim Kredi ve Yurtlar Kurumunca, diğer kamu kurumlarınca, sivil toplum kuruluşlarınca, vakıflar ve bireyler tarafından verilen karşılıksız nakit parayı,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k) İhtiyacı Olan Öğrenci:</w:t>
      </w:r>
      <w:r w:rsidRPr="00AB7E40">
        <w:rPr>
          <w:rFonts w:ascii="Calibri" w:eastAsia="Times New Roman" w:hAnsi="Calibri" w:cs="Calibri"/>
          <w:lang w:eastAsia="tr-TR"/>
        </w:rPr>
        <w:t xml:space="preserve"> Sosyoekonomik yönden desteklenmeye ihtiyacı olan öğrenciyi ifade eder.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tr-TR"/>
        </w:rPr>
      </w:pPr>
      <w:r w:rsidRPr="00AB7E40">
        <w:rPr>
          <w:rFonts w:ascii="Calibri" w:eastAsia="Times New Roman" w:hAnsi="Calibri" w:cs="Calibri"/>
          <w:b/>
          <w:bCs/>
          <w:kern w:val="36"/>
          <w:lang w:eastAsia="tr-TR"/>
        </w:rPr>
        <w:lastRenderedPageBreak/>
        <w:t>İKİNCİ BÖLÜM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(Komisyonun Oluşturulması ve İşleyişi, Görevler ve Sorumluluklar, Komisyon Kararlarının Uygulanması ve Takibi)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KOMİSYONUN OLUŞTURULMASI VE İŞLEYİŞİ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 xml:space="preserve">Madde 4- </w:t>
      </w:r>
      <w:r w:rsidRPr="00AB7E40">
        <w:rPr>
          <w:rFonts w:ascii="Calibri" w:eastAsia="Times New Roman" w:hAnsi="Calibri" w:cs="Calibri"/>
          <w:b/>
          <w:lang w:eastAsia="tr-TR"/>
        </w:rPr>
        <w:t>(1)</w:t>
      </w:r>
      <w:r w:rsidRPr="00AB7E40">
        <w:rPr>
          <w:rFonts w:ascii="Calibri" w:eastAsia="Times New Roman" w:hAnsi="Calibri" w:cs="Calibri"/>
          <w:lang w:eastAsia="tr-TR"/>
        </w:rPr>
        <w:t xml:space="preserve"> Burs Komisyonu, fakülte yönetimi tarafından görevlendirilen en az 3 (üç) öğretim elemanı ve en az 1 (bir) </w:t>
      </w:r>
      <w:proofErr w:type="gramStart"/>
      <w:r w:rsidRPr="00AB7E40">
        <w:rPr>
          <w:rFonts w:ascii="Calibri" w:eastAsia="Times New Roman" w:hAnsi="Calibri" w:cs="Calibri"/>
          <w:lang w:eastAsia="tr-TR"/>
        </w:rPr>
        <w:t>raportörden</w:t>
      </w:r>
      <w:proofErr w:type="gramEnd"/>
      <w:r w:rsidRPr="00AB7E40">
        <w:rPr>
          <w:rFonts w:ascii="Calibri" w:eastAsia="Times New Roman" w:hAnsi="Calibri" w:cs="Calibri"/>
          <w:lang w:eastAsia="tr-TR"/>
        </w:rPr>
        <w:t xml:space="preserve"> oluşur.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(2)</w:t>
      </w:r>
      <w:r w:rsidRPr="00AB7E40">
        <w:rPr>
          <w:rFonts w:ascii="Calibri" w:eastAsia="Times New Roman" w:hAnsi="Calibri" w:cs="Calibri"/>
          <w:lang w:eastAsia="tr-TR"/>
        </w:rPr>
        <w:t xml:space="preserve"> Komisyonun başkanlığı, Burs Komisyonu üyeleri arasından yapılacak seçimle belirlenen başkan tarafından yürütülür.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(3)</w:t>
      </w:r>
      <w:r w:rsidRPr="00AB7E40">
        <w:rPr>
          <w:rFonts w:ascii="Calibri" w:eastAsia="Times New Roman" w:hAnsi="Calibri" w:cs="Calibri"/>
          <w:lang w:eastAsia="tr-TR"/>
        </w:rPr>
        <w:t xml:space="preserve"> Komisyon başkanı ve üyelerinin görev süresi 2 yıldır. Üyeler görev süreleri bitiminde Dekanlık tarafından yeniden görevlendirilebilir.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(4)</w:t>
      </w:r>
      <w:r w:rsidRPr="00AB7E40">
        <w:rPr>
          <w:rFonts w:ascii="Calibri" w:eastAsia="Times New Roman" w:hAnsi="Calibri" w:cs="Calibri"/>
          <w:lang w:eastAsia="tr-TR"/>
        </w:rPr>
        <w:t xml:space="preserve"> Komisyondan üye çıkması/çıkarılması, komisyona yeni üye eklenmesi; komisyon başkanının önerisi ile Dekanlık tarafından karara bağlanır.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(5)</w:t>
      </w:r>
      <w:r w:rsidRPr="00AB7E40">
        <w:rPr>
          <w:rFonts w:ascii="Calibri" w:eastAsia="Times New Roman" w:hAnsi="Calibri" w:cs="Calibri"/>
          <w:lang w:eastAsia="tr-TR"/>
        </w:rPr>
        <w:t xml:space="preserve"> Burs Komisyonu her eğitim-öğretim yılı başında olmak üzere yılda en az 2 (iki) kez toplanır. Gerekli durumlarda komisyon başkanının çağrısı üzerine toplantı sıklığı değişebilir. Toplantıların gündem maddeleri, yeri, zamanı ve süresi başkan tarafından belirlenir. Toplantı gündemi ve takvimi komisyon üyelerine toplantı öncesinde </w:t>
      </w:r>
      <w:proofErr w:type="gramStart"/>
      <w:r w:rsidRPr="00AB7E40">
        <w:rPr>
          <w:rFonts w:ascii="Calibri" w:eastAsia="Times New Roman" w:hAnsi="Calibri" w:cs="Calibri"/>
          <w:lang w:eastAsia="tr-TR"/>
        </w:rPr>
        <w:t>raportör</w:t>
      </w:r>
      <w:proofErr w:type="gramEnd"/>
      <w:r w:rsidRPr="00AB7E40">
        <w:rPr>
          <w:rFonts w:ascii="Calibri" w:eastAsia="Times New Roman" w:hAnsi="Calibri" w:cs="Calibri"/>
          <w:lang w:eastAsia="tr-TR"/>
        </w:rPr>
        <w:t xml:space="preserve"> aracılığıyla bildirilir. Toplantı gündemine, toplantı öncesinde ve sırasında üyelerin teklifi üzerine komisyon kararıyla ek gündem maddesi eklenebilir.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(6)</w:t>
      </w:r>
      <w:r w:rsidRPr="00AB7E40">
        <w:rPr>
          <w:rFonts w:ascii="Calibri" w:eastAsia="Times New Roman" w:hAnsi="Calibri" w:cs="Calibri"/>
          <w:lang w:eastAsia="tr-TR"/>
        </w:rPr>
        <w:t xml:space="preserve"> Komisyon salt çoğunlukla toplanır ve kararlar toplantıya katılan üyelerin oy çokluğuyla alınır. Çekimser oy kullanılamaz. Alınan kararlar toplantı tutanağına kaydedilir; komisyon başkanı, sorumlu yönetici ve üyeler tarafından imzalanır.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(7)</w:t>
      </w:r>
      <w:r w:rsidRPr="00AB7E40">
        <w:rPr>
          <w:rFonts w:ascii="Calibri" w:eastAsia="Times New Roman" w:hAnsi="Calibri" w:cs="Calibri"/>
          <w:lang w:eastAsia="tr-TR"/>
        </w:rPr>
        <w:t xml:space="preserve"> Mazeret bildirmeksizin bir dönemde en az üç komisyon toplantısına katılmayan üyeler Dekanlığa bildirilir.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GÖREVLER VE SORUMLULUKLAR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Madde 5- (1) Komisyonun genel görev ve sorumlulukları aşağıdaki gibidir:</w:t>
      </w:r>
    </w:p>
    <w:p w:rsidR="00AB7E40" w:rsidRDefault="00AB7E40" w:rsidP="00AB7E4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a)</w:t>
      </w:r>
      <w:r w:rsidRPr="00AB7E40">
        <w:rPr>
          <w:rFonts w:ascii="Calibri" w:eastAsia="Times New Roman" w:hAnsi="Calibri" w:cs="Calibri"/>
          <w:lang w:eastAsia="tr-TR"/>
        </w:rPr>
        <w:t xml:space="preserve"> Burs uygulamalarıyla ilgili öğrencilere gerekli duyuruların yapılmasını sağlar.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b)</w:t>
      </w:r>
      <w:r w:rsidRPr="00AB7E40">
        <w:rPr>
          <w:rFonts w:ascii="Calibri" w:eastAsia="Times New Roman" w:hAnsi="Calibri" w:cs="Calibri"/>
          <w:lang w:eastAsia="tr-TR"/>
        </w:rPr>
        <w:t xml:space="preserve"> Gereksinim doğrultusunda Fakülte Yönetimi ve öğrenci akademik danışmanlarından ihtiyacı olan öğrencilerin belirlenmesi konusunda görüş ve öneri alır.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c)</w:t>
      </w:r>
      <w:r w:rsidRPr="00AB7E40">
        <w:rPr>
          <w:rFonts w:ascii="Calibri" w:eastAsia="Times New Roman" w:hAnsi="Calibri" w:cs="Calibri"/>
          <w:lang w:eastAsia="tr-TR"/>
        </w:rPr>
        <w:t xml:space="preserve"> Burs başvuruları ile ilgili öğrencilere gerekli yönlendirmeleri yapar.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ç)</w:t>
      </w:r>
      <w:r w:rsidRPr="00AB7E40">
        <w:rPr>
          <w:rFonts w:ascii="Calibri" w:eastAsia="Times New Roman" w:hAnsi="Calibri" w:cs="Calibri"/>
          <w:lang w:eastAsia="tr-TR"/>
        </w:rPr>
        <w:t xml:space="preserve"> Öğrencilere doğrudan burs verecek kişi ve kuruluşlar ile öğrenciler arasında iletişimi sağlar ve aracılık işlemlerini yürütür.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d)</w:t>
      </w:r>
      <w:r w:rsidRPr="00AB7E40">
        <w:rPr>
          <w:rFonts w:ascii="Calibri" w:eastAsia="Times New Roman" w:hAnsi="Calibri" w:cs="Calibri"/>
          <w:lang w:eastAsia="tr-TR"/>
        </w:rPr>
        <w:t xml:space="preserve"> Komisyon üyeleri gerekli durumlarda burs başvurusu yapan öğrencilerle görüşme yapar ve öğrencilerin danışmanlarından durumlarıyla ilgili bilgi alır.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e)</w:t>
      </w:r>
      <w:r w:rsidRPr="00AB7E40">
        <w:rPr>
          <w:rFonts w:ascii="Calibri" w:eastAsia="Times New Roman" w:hAnsi="Calibri" w:cs="Calibri"/>
          <w:lang w:eastAsia="tr-TR"/>
        </w:rPr>
        <w:t xml:space="preserve"> Başvurusu ve belgeleri geçerli olan öğrencilerin durumları ilgili mevzuat doğrultusunda burs komisyonu tarafından değerlendirilir.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f)</w:t>
      </w:r>
      <w:r w:rsidRPr="00AB7E40">
        <w:rPr>
          <w:rFonts w:ascii="Calibri" w:eastAsia="Times New Roman" w:hAnsi="Calibri" w:cs="Calibri"/>
          <w:lang w:eastAsia="tr-TR"/>
        </w:rPr>
        <w:t xml:space="preserve"> Komisyon faaliyetlerinin kayıtlarını tutarak gerekli raporları düzenler ve Dekanlığa sunar.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tr-TR"/>
        </w:rPr>
      </w:pPr>
    </w:p>
    <w:p w:rsid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lastRenderedPageBreak/>
        <w:t>Madde 5- (2) Komisyon başkanının görev ve sorumlulukları aşağıdaki gibidir:</w:t>
      </w:r>
    </w:p>
    <w:p w:rsidR="00AB7E40" w:rsidRPr="00AB7E40" w:rsidRDefault="00AB7E40" w:rsidP="00AB7E4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a)</w:t>
      </w:r>
      <w:r w:rsidRPr="00AB7E40">
        <w:rPr>
          <w:rFonts w:ascii="Calibri" w:eastAsia="Times New Roman" w:hAnsi="Calibri" w:cs="Calibri"/>
          <w:lang w:eastAsia="tr-TR"/>
        </w:rPr>
        <w:t xml:space="preserve"> Burs Komisyonunun görevlerini yerine getirmesinde Bölüm Başkanlığına ve Dekanlığa karşı sorumludur.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b)</w:t>
      </w:r>
      <w:r w:rsidRPr="00AB7E40">
        <w:rPr>
          <w:rFonts w:ascii="Calibri" w:eastAsia="Times New Roman" w:hAnsi="Calibri" w:cs="Calibri"/>
          <w:lang w:eastAsia="tr-TR"/>
        </w:rPr>
        <w:t xml:space="preserve"> Komisyonu fakülte içinde ve dışında temsil eder.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c)</w:t>
      </w:r>
      <w:r w:rsidRPr="00AB7E40">
        <w:rPr>
          <w:rFonts w:ascii="Calibri" w:eastAsia="Times New Roman" w:hAnsi="Calibri" w:cs="Calibri"/>
          <w:lang w:eastAsia="tr-TR"/>
        </w:rPr>
        <w:t xml:space="preserve"> Toplantı gündemini ve toplantı takvimini belirleyerek komisyonu toplantıya çağırır.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ç)</w:t>
      </w:r>
      <w:r w:rsidRPr="00AB7E40">
        <w:rPr>
          <w:rFonts w:ascii="Calibri" w:eastAsia="Times New Roman" w:hAnsi="Calibri" w:cs="Calibri"/>
          <w:lang w:eastAsia="tr-TR"/>
        </w:rPr>
        <w:t xml:space="preserve"> Komisyon üyelerinin belirlenen takvim ve hedeflere yönelik çalışmasını sağlar.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d)</w:t>
      </w:r>
      <w:r w:rsidRPr="00AB7E40">
        <w:rPr>
          <w:rFonts w:ascii="Calibri" w:eastAsia="Times New Roman" w:hAnsi="Calibri" w:cs="Calibri"/>
          <w:lang w:eastAsia="tr-TR"/>
        </w:rPr>
        <w:t xml:space="preserve"> Yapılan toplantılarda grup içi görev dağılımını yapar. Gerekli hallerde alt çalışma grupları oluşturur.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e)</w:t>
      </w:r>
      <w:r w:rsidRPr="00AB7E40">
        <w:rPr>
          <w:rFonts w:ascii="Calibri" w:eastAsia="Times New Roman" w:hAnsi="Calibri" w:cs="Calibri"/>
          <w:lang w:eastAsia="tr-TR"/>
        </w:rPr>
        <w:t xml:space="preserve"> Komisyon raporlarını Dekanlığa/Bölüm Başkanlığına sunar.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f)</w:t>
      </w:r>
      <w:r w:rsidRPr="00AB7E40">
        <w:rPr>
          <w:rFonts w:ascii="Calibri" w:eastAsia="Times New Roman" w:hAnsi="Calibri" w:cs="Calibri"/>
          <w:lang w:eastAsia="tr-TR"/>
        </w:rPr>
        <w:t xml:space="preserve"> Komisyonun toplantı tutanaklarının dosyalanıp arşivlenmesini sağlar.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g)</w:t>
      </w:r>
      <w:r w:rsidRPr="00AB7E40">
        <w:rPr>
          <w:rFonts w:ascii="Calibri" w:eastAsia="Times New Roman" w:hAnsi="Calibri" w:cs="Calibri"/>
          <w:lang w:eastAsia="tr-TR"/>
        </w:rPr>
        <w:t xml:space="preserve"> Burs etkinlikleri kapsamında gerçekleştirilecek çalışmalarda komisyon üyelerine liderlik eder.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Madde 5- (3) Sorumlu yöneticinin görev ve sorumlulukları aşağıdaki gibidir: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lang w:eastAsia="tr-TR"/>
        </w:rPr>
        <w:t>a) Burs Komisyonunun görev ve sorumluluklarını yerine getirme sürecini denetlemekten sorumludur.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Madde 5- (4) Komisyon üyelerinin görev ve sorumlulukları aşağıdaki gibidir:</w:t>
      </w:r>
    </w:p>
    <w:p w:rsidR="00AB7E40" w:rsidRPr="00AB7E40" w:rsidRDefault="00AB7E40" w:rsidP="00AB7E4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a)</w:t>
      </w:r>
      <w:r w:rsidRPr="00AB7E40">
        <w:rPr>
          <w:rFonts w:ascii="Calibri" w:eastAsia="Times New Roman" w:hAnsi="Calibri" w:cs="Calibri"/>
          <w:lang w:eastAsia="tr-TR"/>
        </w:rPr>
        <w:t xml:space="preserve"> Burs Komisyonu toplantılarına aktif katılım sağlar.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b)</w:t>
      </w:r>
      <w:r w:rsidRPr="00AB7E40">
        <w:rPr>
          <w:rFonts w:ascii="Calibri" w:eastAsia="Times New Roman" w:hAnsi="Calibri" w:cs="Calibri"/>
          <w:lang w:eastAsia="tr-TR"/>
        </w:rPr>
        <w:t xml:space="preserve"> Komisyon başkanı tarafından verilen görev ve sorumlulukları yerine getirir.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c)</w:t>
      </w:r>
      <w:r w:rsidRPr="00AB7E40">
        <w:rPr>
          <w:rFonts w:ascii="Calibri" w:eastAsia="Times New Roman" w:hAnsi="Calibri" w:cs="Calibri"/>
          <w:lang w:eastAsia="tr-TR"/>
        </w:rPr>
        <w:t xml:space="preserve"> İhtiyacı olan öğrencilerin belirlenmesinde bölüm öğretim elemanlarından görüş alır.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ç)</w:t>
      </w:r>
      <w:r w:rsidRPr="00AB7E40">
        <w:rPr>
          <w:rFonts w:ascii="Calibri" w:eastAsia="Times New Roman" w:hAnsi="Calibri" w:cs="Calibri"/>
          <w:lang w:eastAsia="tr-TR"/>
        </w:rPr>
        <w:t xml:space="preserve"> Komisyona yönlendirilen ihtiyacı olan öğrenci ile ilgili durum tespiti yapar ve gerektiğinde öğrenciyi burs kaynaklarına yönlendirir.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 xml:space="preserve">Madde 5- (5) Komisyon </w:t>
      </w:r>
      <w:proofErr w:type="gramStart"/>
      <w:r w:rsidRPr="00AB7E40">
        <w:rPr>
          <w:rFonts w:ascii="Calibri" w:eastAsia="Times New Roman" w:hAnsi="Calibri" w:cs="Calibri"/>
          <w:b/>
          <w:bCs/>
          <w:lang w:eastAsia="tr-TR"/>
        </w:rPr>
        <w:t>raportörünün</w:t>
      </w:r>
      <w:proofErr w:type="gramEnd"/>
      <w:r w:rsidRPr="00AB7E40">
        <w:rPr>
          <w:rFonts w:ascii="Calibri" w:eastAsia="Times New Roman" w:hAnsi="Calibri" w:cs="Calibri"/>
          <w:b/>
          <w:bCs/>
          <w:lang w:eastAsia="tr-TR"/>
        </w:rPr>
        <w:t xml:space="preserve"> görev ve sorumlulukları aşağıdaki gibidir:</w:t>
      </w:r>
    </w:p>
    <w:p w:rsidR="00AB7E40" w:rsidRPr="00AB7E40" w:rsidRDefault="00AB7E40" w:rsidP="00AB7E4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a)</w:t>
      </w:r>
      <w:r w:rsidRPr="00AB7E40">
        <w:rPr>
          <w:rFonts w:ascii="Calibri" w:eastAsia="Times New Roman" w:hAnsi="Calibri" w:cs="Calibri"/>
          <w:lang w:eastAsia="tr-TR"/>
        </w:rPr>
        <w:t xml:space="preserve"> Komisy</w:t>
      </w:r>
      <w:r>
        <w:rPr>
          <w:rFonts w:ascii="Calibri" w:eastAsia="Times New Roman" w:hAnsi="Calibri" w:cs="Calibri"/>
          <w:lang w:eastAsia="tr-TR"/>
        </w:rPr>
        <w:t xml:space="preserve">on </w:t>
      </w:r>
      <w:proofErr w:type="gramStart"/>
      <w:r>
        <w:rPr>
          <w:rFonts w:ascii="Calibri" w:eastAsia="Times New Roman" w:hAnsi="Calibri" w:cs="Calibri"/>
          <w:lang w:eastAsia="tr-TR"/>
        </w:rPr>
        <w:t>raportörü</w:t>
      </w:r>
      <w:proofErr w:type="gramEnd"/>
      <w:r>
        <w:rPr>
          <w:rFonts w:ascii="Calibri" w:eastAsia="Times New Roman" w:hAnsi="Calibri" w:cs="Calibri"/>
          <w:lang w:eastAsia="tr-TR"/>
        </w:rPr>
        <w:t>; öğretim görevlisi,</w:t>
      </w:r>
      <w:r w:rsidRPr="00AB7E40">
        <w:rPr>
          <w:rFonts w:ascii="Calibri" w:eastAsia="Times New Roman" w:hAnsi="Calibri" w:cs="Calibri"/>
          <w:lang w:eastAsia="tr-TR"/>
        </w:rPr>
        <w:t xml:space="preserve"> araştırma görevlisi</w:t>
      </w:r>
      <w:r>
        <w:rPr>
          <w:rFonts w:ascii="Calibri" w:eastAsia="Times New Roman" w:hAnsi="Calibri" w:cs="Calibri"/>
          <w:lang w:eastAsia="tr-TR"/>
        </w:rPr>
        <w:t xml:space="preserve"> veya ilgili personelden </w:t>
      </w:r>
      <w:r w:rsidRPr="00AB7E40">
        <w:rPr>
          <w:rFonts w:ascii="Calibri" w:eastAsia="Times New Roman" w:hAnsi="Calibri" w:cs="Calibri"/>
          <w:lang w:eastAsia="tr-TR"/>
        </w:rPr>
        <w:t>oluşur.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b)</w:t>
      </w:r>
      <w:r w:rsidRPr="00AB7E40">
        <w:rPr>
          <w:rFonts w:ascii="Calibri" w:eastAsia="Times New Roman" w:hAnsi="Calibri" w:cs="Calibri"/>
          <w:lang w:eastAsia="tr-TR"/>
        </w:rPr>
        <w:t xml:space="preserve"> Komisyon başkanı tarafından belirlenen toplantı gündemini ve toplantı tarihini komisyon üyelerine toplantı bilgi sistemi üzerinden bildirir.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c)</w:t>
      </w:r>
      <w:r w:rsidRPr="00AB7E40">
        <w:rPr>
          <w:rFonts w:ascii="Calibri" w:eastAsia="Times New Roman" w:hAnsi="Calibri" w:cs="Calibri"/>
          <w:lang w:eastAsia="tr-TR"/>
        </w:rPr>
        <w:t xml:space="preserve"> Toplantı tutanağını hazırlar ve komisyon üyelerinin imzalamasını sağlar.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ç)</w:t>
      </w:r>
      <w:r w:rsidRPr="00AB7E40">
        <w:rPr>
          <w:rFonts w:ascii="Calibri" w:eastAsia="Times New Roman" w:hAnsi="Calibri" w:cs="Calibri"/>
          <w:lang w:eastAsia="tr-TR"/>
        </w:rPr>
        <w:t xml:space="preserve"> Toplantı sırasında alınan kararları raporlar, komisyon başkanına ve üyelere sunar ve raporun imzalanmasını sağlar.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d)</w:t>
      </w:r>
      <w:r w:rsidRPr="00AB7E40">
        <w:rPr>
          <w:rFonts w:ascii="Calibri" w:eastAsia="Times New Roman" w:hAnsi="Calibri" w:cs="Calibri"/>
          <w:lang w:eastAsia="tr-TR"/>
        </w:rPr>
        <w:t xml:space="preserve"> Komisyonun toplantı tutanaklarını, raporlarını ve komisyon ile ilgili bütün dokümanları dosyalayıp arşivler.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Madde 5- (6) Akademik danışmanın görev ve sorumlulukları aşağıdaki gibidir:</w:t>
      </w:r>
    </w:p>
    <w:p w:rsidR="00AB7E40" w:rsidRPr="00AB7E40" w:rsidRDefault="00AB7E40" w:rsidP="00AB7E4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a)</w:t>
      </w:r>
      <w:r w:rsidRPr="00AB7E40">
        <w:rPr>
          <w:rFonts w:ascii="Calibri" w:eastAsia="Times New Roman" w:hAnsi="Calibri" w:cs="Calibri"/>
          <w:lang w:eastAsia="tr-TR"/>
        </w:rPr>
        <w:t xml:space="preserve"> Burs ihtiyacı olan öğrencileri belirler.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b)</w:t>
      </w:r>
      <w:r w:rsidRPr="00AB7E40">
        <w:rPr>
          <w:rFonts w:ascii="Calibri" w:eastAsia="Times New Roman" w:hAnsi="Calibri" w:cs="Calibri"/>
          <w:lang w:eastAsia="tr-TR"/>
        </w:rPr>
        <w:t xml:space="preserve"> Burs komisyonuna doğrudan başvuran danışmanı olduğu öğrenciler hakkında görüş bildirir.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Madde 5- (7) Öğrenci işlerinin görev ve sorumlulukları aşağıdaki gibidir:</w:t>
      </w:r>
    </w:p>
    <w:p w:rsidR="00AB7E40" w:rsidRPr="00AB7E40" w:rsidRDefault="00AB7E40" w:rsidP="00AB7E40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lang w:eastAsia="tr-TR"/>
        </w:rPr>
        <w:t>a)</w:t>
      </w:r>
      <w:r w:rsidRPr="00AB7E40">
        <w:rPr>
          <w:rFonts w:ascii="Calibri" w:eastAsia="Times New Roman" w:hAnsi="Calibri" w:cs="Calibri"/>
          <w:lang w:eastAsia="tr-TR"/>
        </w:rPr>
        <w:t xml:space="preserve"> Burs ilanlarını bölüm ilan panosunda ve web sayfasında öğrencilere duyurur.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b)</w:t>
      </w:r>
      <w:r w:rsidRPr="00AB7E40">
        <w:rPr>
          <w:rFonts w:ascii="Calibri" w:eastAsia="Times New Roman" w:hAnsi="Calibri" w:cs="Calibri"/>
          <w:lang w:eastAsia="tr-TR"/>
        </w:rPr>
        <w:t xml:space="preserve"> Gerekli durumlarda öğrenci başvurularındaki evrakların eksik ya da hatalı olup olmadığını kontrol eder ve ilan edilen tarihlerde teslim alır. Eksik ya da hatalı başvuruları teslim almaz.</w:t>
      </w:r>
      <w:r w:rsidRPr="00AB7E40">
        <w:rPr>
          <w:rFonts w:ascii="Calibri" w:eastAsia="Times New Roman" w:hAnsi="Calibri" w:cs="Calibri"/>
          <w:lang w:eastAsia="tr-TR"/>
        </w:rPr>
        <w:br/>
      </w:r>
      <w:r w:rsidRPr="00AB7E40">
        <w:rPr>
          <w:rFonts w:ascii="Calibri" w:eastAsia="Times New Roman" w:hAnsi="Calibri" w:cs="Calibri"/>
          <w:b/>
          <w:lang w:eastAsia="tr-TR"/>
        </w:rPr>
        <w:t>c)</w:t>
      </w:r>
      <w:r w:rsidRPr="00AB7E40">
        <w:rPr>
          <w:rFonts w:ascii="Calibri" w:eastAsia="Times New Roman" w:hAnsi="Calibri" w:cs="Calibri"/>
          <w:lang w:eastAsia="tr-TR"/>
        </w:rPr>
        <w:t xml:space="preserve"> Teslim alınan başvuruları son başvuru tarihinin bitiminde burs komisyonuna iletir.</w:t>
      </w:r>
    </w:p>
    <w:p w:rsidR="002F50E7" w:rsidRDefault="002F50E7" w:rsidP="00AB7E4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tr-TR"/>
        </w:rPr>
      </w:pPr>
    </w:p>
    <w:p w:rsidR="002F50E7" w:rsidRDefault="002F50E7" w:rsidP="00AB7E4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tr-TR"/>
        </w:rPr>
      </w:pP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lastRenderedPageBreak/>
        <w:t>KOMİSYON KARARLARININ UYGULANMASI VE TAKİBİ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Madde 6-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2F50E7">
        <w:rPr>
          <w:rFonts w:ascii="Calibri" w:eastAsia="Times New Roman" w:hAnsi="Calibri" w:cs="Calibri"/>
          <w:b/>
          <w:lang w:eastAsia="tr-TR"/>
        </w:rPr>
        <w:t>(1)</w:t>
      </w:r>
      <w:r w:rsidRPr="00AB7E40">
        <w:rPr>
          <w:rFonts w:ascii="Calibri" w:eastAsia="Times New Roman" w:hAnsi="Calibri" w:cs="Calibri"/>
          <w:lang w:eastAsia="tr-TR"/>
        </w:rPr>
        <w:t xml:space="preserve"> Burs Komisyonu komisyon başkanı tarafından temsil edilir.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2F50E7">
        <w:rPr>
          <w:rFonts w:ascii="Calibri" w:eastAsia="Times New Roman" w:hAnsi="Calibri" w:cs="Calibri"/>
          <w:b/>
          <w:lang w:eastAsia="tr-TR"/>
        </w:rPr>
        <w:t>(2)</w:t>
      </w:r>
      <w:r w:rsidRPr="00AB7E40">
        <w:rPr>
          <w:rFonts w:ascii="Calibri" w:eastAsia="Times New Roman" w:hAnsi="Calibri" w:cs="Calibri"/>
          <w:lang w:eastAsia="tr-TR"/>
        </w:rPr>
        <w:t xml:space="preserve"> Alınan kararlarda uygulamadan ve kararların takip edilmesinden sorumlu olan komisyon üyeleri komisyon başkanı tarafından belirlenir. İlgili komisyon üyeleri kendilerine verilen görevler doğrultusunda alınan kararları uygular ve takibini yapar.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2F50E7">
        <w:rPr>
          <w:rFonts w:ascii="Calibri" w:eastAsia="Times New Roman" w:hAnsi="Calibri" w:cs="Calibri"/>
          <w:b/>
          <w:lang w:eastAsia="tr-TR"/>
        </w:rPr>
        <w:t>(3)</w:t>
      </w:r>
      <w:r w:rsidRPr="00AB7E40">
        <w:rPr>
          <w:rFonts w:ascii="Calibri" w:eastAsia="Times New Roman" w:hAnsi="Calibri" w:cs="Calibri"/>
          <w:lang w:eastAsia="tr-TR"/>
        </w:rPr>
        <w:t xml:space="preserve"> Burs Komisyonunun aldığı kararlar Dekanlığa, farklı komisyonlara ve birimlere bildirilecekse; komisyon raporu ilgili komisyon üyesinin sorumluluğunda komisyon başkanı tarafından ilgili kişi ve birimlere iletilir. Komisyon adına yazışmalar komisyon başkanının imzasıyla yapılır.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2F50E7">
        <w:rPr>
          <w:rFonts w:ascii="Calibri" w:eastAsia="Times New Roman" w:hAnsi="Calibri" w:cs="Calibri"/>
          <w:b/>
          <w:lang w:eastAsia="tr-TR"/>
        </w:rPr>
        <w:t>(4)</w:t>
      </w:r>
      <w:r w:rsidRPr="00AB7E40">
        <w:rPr>
          <w:rFonts w:ascii="Calibri" w:eastAsia="Times New Roman" w:hAnsi="Calibri" w:cs="Calibri"/>
          <w:lang w:eastAsia="tr-TR"/>
        </w:rPr>
        <w:t xml:space="preserve"> Komisyonlar, faaliyetleri için harcama gerektiğinde; gerekçesi ve kullanım alanlarını yazılı olarak belirtmek kaydıyla Fakülte Yönetiminden ödenek talep edebilirler.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  <w:r w:rsidRPr="002F50E7">
        <w:rPr>
          <w:rFonts w:ascii="Calibri" w:eastAsia="Times New Roman" w:hAnsi="Calibri" w:cs="Calibri"/>
          <w:b/>
          <w:lang w:eastAsia="tr-TR"/>
        </w:rPr>
        <w:t>(5)</w:t>
      </w:r>
      <w:r w:rsidRPr="00AB7E40">
        <w:rPr>
          <w:rFonts w:ascii="Calibri" w:eastAsia="Times New Roman" w:hAnsi="Calibri" w:cs="Calibri"/>
          <w:lang w:eastAsia="tr-TR"/>
        </w:rPr>
        <w:t xml:space="preserve"> Burs Komisyonu süreciyle ilgili çalışmaların ve komisyon kararlarının genel takibi komisyon başkanı, Bölüm Başkanı ve Dekanlık tarafından yapılır.</w:t>
      </w:r>
    </w:p>
    <w:p w:rsidR="00AB7E40" w:rsidRPr="00AB7E40" w:rsidRDefault="00AB7E40" w:rsidP="002F50E7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tr-TR"/>
        </w:rPr>
      </w:pPr>
      <w:r w:rsidRPr="00AB7E40">
        <w:rPr>
          <w:rFonts w:ascii="Calibri" w:eastAsia="Times New Roman" w:hAnsi="Calibri" w:cs="Calibri"/>
          <w:b/>
          <w:bCs/>
          <w:kern w:val="36"/>
          <w:lang w:eastAsia="tr-TR"/>
        </w:rPr>
        <w:t>ÜÇÜNCÜ BÖLÜM</w:t>
      </w:r>
    </w:p>
    <w:p w:rsidR="00AB7E40" w:rsidRPr="00AB7E40" w:rsidRDefault="00AB7E40" w:rsidP="002F50E7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(Son Hükümler)</w:t>
      </w:r>
    </w:p>
    <w:p w:rsidR="00AB7E40" w:rsidRPr="00AB7E40" w:rsidRDefault="00AB7E40" w:rsidP="002F50E7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Yürürlük</w:t>
      </w:r>
      <w:r w:rsidR="002F50E7">
        <w:rPr>
          <w:rFonts w:ascii="Calibri" w:eastAsia="Times New Roman" w:hAnsi="Calibri" w:cs="Calibri"/>
          <w:b/>
          <w:bCs/>
          <w:lang w:eastAsia="tr-TR"/>
        </w:rPr>
        <w:t xml:space="preserve"> </w:t>
      </w:r>
      <w:r w:rsidRPr="00AB7E40">
        <w:rPr>
          <w:rFonts w:ascii="Calibri" w:eastAsia="Times New Roman" w:hAnsi="Calibri" w:cs="Calibri"/>
          <w:b/>
          <w:bCs/>
          <w:lang w:eastAsia="tr-TR"/>
        </w:rPr>
        <w:t>Madde 7-</w:t>
      </w:r>
      <w:r w:rsidRPr="00AB7E40">
        <w:rPr>
          <w:rFonts w:ascii="Calibri" w:eastAsia="Times New Roman" w:hAnsi="Calibri" w:cs="Calibri"/>
          <w:lang w:eastAsia="tr-TR"/>
        </w:rPr>
        <w:t xml:space="preserve"> Bu çalışma esasları Fakülte Kurulu tarafından onaylandığı tarihten itibaren yürürlüğe girer.</w:t>
      </w:r>
    </w:p>
    <w:p w:rsidR="00AB7E40" w:rsidRPr="00AB7E40" w:rsidRDefault="00AB7E40" w:rsidP="002F50E7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lang w:eastAsia="tr-TR"/>
        </w:rPr>
      </w:pPr>
      <w:r w:rsidRPr="00AB7E40">
        <w:rPr>
          <w:rFonts w:ascii="Calibri" w:eastAsia="Times New Roman" w:hAnsi="Calibri" w:cs="Calibri"/>
          <w:b/>
          <w:bCs/>
          <w:lang w:eastAsia="tr-TR"/>
        </w:rPr>
        <w:t>Yürütme</w:t>
      </w:r>
      <w:r w:rsidR="002F50E7">
        <w:rPr>
          <w:rFonts w:ascii="Calibri" w:eastAsia="Times New Roman" w:hAnsi="Calibri" w:cs="Calibri"/>
          <w:b/>
          <w:bCs/>
          <w:lang w:eastAsia="tr-TR"/>
        </w:rPr>
        <w:t xml:space="preserve"> </w:t>
      </w:r>
      <w:bookmarkStart w:id="0" w:name="_GoBack"/>
      <w:bookmarkEnd w:id="0"/>
      <w:r w:rsidRPr="00AB7E40">
        <w:rPr>
          <w:rFonts w:ascii="Calibri" w:eastAsia="Times New Roman" w:hAnsi="Calibri" w:cs="Calibri"/>
          <w:b/>
          <w:bCs/>
          <w:lang w:eastAsia="tr-TR"/>
        </w:rPr>
        <w:t>Madde 8-</w:t>
      </w:r>
      <w:r w:rsidRPr="00AB7E40">
        <w:rPr>
          <w:rFonts w:ascii="Calibri" w:eastAsia="Times New Roman" w:hAnsi="Calibri" w:cs="Calibri"/>
          <w:lang w:eastAsia="tr-TR"/>
        </w:rPr>
        <w:t xml:space="preserve"> Bu çalışma esasları hükümlerini Burs Komisyon Başkanı yürütür.</w:t>
      </w:r>
    </w:p>
    <w:p w:rsidR="00AB7E40" w:rsidRPr="00AB7E40" w:rsidRDefault="00AB7E40" w:rsidP="00AB7E40">
      <w:pPr>
        <w:pBdr>
          <w:bottom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vanish/>
          <w:lang w:eastAsia="tr-TR"/>
        </w:rPr>
      </w:pPr>
      <w:r w:rsidRPr="00AB7E40">
        <w:rPr>
          <w:rFonts w:ascii="Calibri" w:eastAsia="Times New Roman" w:hAnsi="Calibri" w:cs="Calibri"/>
          <w:vanish/>
          <w:lang w:eastAsia="tr-TR"/>
        </w:rPr>
        <w:t>Formun Üstü</w:t>
      </w:r>
    </w:p>
    <w:p w:rsidR="00AB7E40" w:rsidRPr="00AB7E40" w:rsidRDefault="00AB7E40" w:rsidP="00AB7E4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tr-TR"/>
        </w:rPr>
      </w:pPr>
    </w:p>
    <w:p w:rsidR="00AB7E40" w:rsidRPr="00AB7E40" w:rsidRDefault="00AB7E40" w:rsidP="00AB7E40">
      <w:pPr>
        <w:pBdr>
          <w:top w:val="single" w:sz="6" w:space="1" w:color="auto"/>
        </w:pBdr>
        <w:spacing w:after="0" w:line="240" w:lineRule="auto"/>
        <w:jc w:val="both"/>
        <w:rPr>
          <w:rFonts w:ascii="Calibri" w:eastAsia="Times New Roman" w:hAnsi="Calibri" w:cs="Calibri"/>
          <w:vanish/>
          <w:lang w:eastAsia="tr-TR"/>
        </w:rPr>
      </w:pPr>
      <w:r w:rsidRPr="00AB7E40">
        <w:rPr>
          <w:rFonts w:ascii="Calibri" w:eastAsia="Times New Roman" w:hAnsi="Calibri" w:cs="Calibri"/>
          <w:vanish/>
          <w:lang w:eastAsia="tr-TR"/>
        </w:rPr>
        <w:t>Formun Altı</w:t>
      </w:r>
    </w:p>
    <w:p w:rsidR="00AB7666" w:rsidRPr="00AB7E40" w:rsidRDefault="00AB7666" w:rsidP="00AB7E40">
      <w:pPr>
        <w:jc w:val="both"/>
        <w:rPr>
          <w:rFonts w:ascii="Calibri" w:hAnsi="Calibri" w:cs="Calibri"/>
        </w:rPr>
      </w:pPr>
    </w:p>
    <w:sectPr w:rsidR="00AB7666" w:rsidRPr="00AB7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92"/>
    <w:rsid w:val="002F50E7"/>
    <w:rsid w:val="00AB7666"/>
    <w:rsid w:val="00AB7E40"/>
    <w:rsid w:val="00D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DE2E"/>
  <w15:chartTrackingRefBased/>
  <w15:docId w15:val="{05D0F9CF-30EE-496C-BC63-D19D5186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B7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B7E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AB7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7E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B7E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B7E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B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B7E40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AB7E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AB7E40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AB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AB7E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AB7E40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AB7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6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0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5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18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00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75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5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57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57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52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1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15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147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63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1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50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51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5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10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3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43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98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066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687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887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Bilgi İşlem Daire Başkanlığı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2026-05-12T11:13:00Z</dcterms:created>
  <dcterms:modified xsi:type="dcterms:W3CDTF">2026-05-12T11:24:00Z</dcterms:modified>
</cp:coreProperties>
</file>