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51AF" w14:textId="37DA901E" w:rsidR="008D07DC" w:rsidRPr="00207F6D" w:rsidRDefault="008E32D3" w:rsidP="00207F6D">
      <w:pPr>
        <w:spacing w:after="0"/>
      </w:pPr>
      <w:r>
        <w:rPr>
          <w:rFonts w:ascii="Times New Roman" w:eastAsia="Times New Roman" w:hAnsi="Times New Roman" w:cs="Times New Roman"/>
          <w:sz w:val="24"/>
        </w:rPr>
        <w:t xml:space="preserve"> </w:t>
      </w:r>
      <w:r w:rsidR="00AB439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AB439D">
        <w:t xml:space="preserve">                       </w:t>
      </w:r>
    </w:p>
    <w:tbl>
      <w:tblPr>
        <w:tblStyle w:val="TableGrid"/>
        <w:tblW w:w="9501" w:type="dxa"/>
        <w:tblInd w:w="137" w:type="dxa"/>
        <w:tblCellMar>
          <w:top w:w="3" w:type="dxa"/>
          <w:left w:w="109" w:type="dxa"/>
          <w:right w:w="56" w:type="dxa"/>
        </w:tblCellMar>
        <w:tblLook w:val="04A0" w:firstRow="1" w:lastRow="0" w:firstColumn="1" w:lastColumn="0" w:noHBand="0" w:noVBand="1"/>
      </w:tblPr>
      <w:tblGrid>
        <w:gridCol w:w="3123"/>
        <w:gridCol w:w="6378"/>
      </w:tblGrid>
      <w:tr w:rsidR="008D07DC" w14:paraId="7E06F81C" w14:textId="77777777" w:rsidTr="00602B0C">
        <w:trPr>
          <w:trHeight w:val="268"/>
        </w:trPr>
        <w:tc>
          <w:tcPr>
            <w:tcW w:w="3123" w:type="dxa"/>
            <w:tcBorders>
              <w:top w:val="single" w:sz="4" w:space="0" w:color="BFBFBF"/>
              <w:left w:val="single" w:sz="4" w:space="0" w:color="BFBFBF"/>
              <w:bottom w:val="single" w:sz="4" w:space="0" w:color="BFBFBF"/>
              <w:right w:val="single" w:sz="4" w:space="0" w:color="BFBFBF"/>
            </w:tcBorders>
            <w:shd w:val="clear" w:color="auto" w:fill="F2F2F2"/>
          </w:tcPr>
          <w:p w14:paraId="557F951D" w14:textId="77777777" w:rsidR="008D07DC" w:rsidRDefault="008D07DC" w:rsidP="00602B0C">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1A8867E8" w14:textId="77777777" w:rsidR="008D07DC" w:rsidRDefault="008D07DC" w:rsidP="00602B0C">
            <w:r>
              <w:rPr>
                <w:rFonts w:ascii="Cambria" w:eastAsia="Cambria" w:hAnsi="Cambria" w:cs="Cambria"/>
              </w:rPr>
              <w:t xml:space="preserve">Müdürlük Makamı </w:t>
            </w:r>
          </w:p>
        </w:tc>
      </w:tr>
      <w:tr w:rsidR="008D07DC" w14:paraId="5755631F" w14:textId="77777777" w:rsidTr="00602B0C">
        <w:trPr>
          <w:trHeight w:val="266"/>
        </w:trPr>
        <w:tc>
          <w:tcPr>
            <w:tcW w:w="3123" w:type="dxa"/>
            <w:tcBorders>
              <w:top w:val="single" w:sz="4" w:space="0" w:color="BFBFBF"/>
              <w:left w:val="single" w:sz="4" w:space="0" w:color="BFBFBF"/>
              <w:bottom w:val="single" w:sz="4" w:space="0" w:color="BFBFBF"/>
              <w:right w:val="single" w:sz="4" w:space="0" w:color="BFBFBF"/>
            </w:tcBorders>
            <w:shd w:val="clear" w:color="auto" w:fill="F2F2F2"/>
          </w:tcPr>
          <w:p w14:paraId="6C69394A" w14:textId="77777777" w:rsidR="008D07DC" w:rsidRDefault="008D07DC" w:rsidP="00602B0C">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1BC7B41C" w14:textId="77777777" w:rsidR="008D07DC" w:rsidRDefault="008D07DC" w:rsidP="00602B0C">
            <w:r w:rsidRPr="00AB439D">
              <w:rPr>
                <w:rFonts w:ascii="Cambria" w:eastAsia="Cambria" w:hAnsi="Cambria" w:cs="Cambria"/>
                <w:color w:val="FF0000"/>
              </w:rPr>
              <w:t xml:space="preserve">Müdür </w:t>
            </w:r>
          </w:p>
        </w:tc>
      </w:tr>
      <w:tr w:rsidR="008D07DC" w14:paraId="098DE0CA" w14:textId="77777777" w:rsidTr="00602B0C">
        <w:trPr>
          <w:trHeight w:val="269"/>
        </w:trPr>
        <w:tc>
          <w:tcPr>
            <w:tcW w:w="3123" w:type="dxa"/>
            <w:tcBorders>
              <w:top w:val="single" w:sz="4" w:space="0" w:color="BFBFBF"/>
              <w:left w:val="single" w:sz="4" w:space="0" w:color="BFBFBF"/>
              <w:bottom w:val="single" w:sz="4" w:space="0" w:color="BFBFBF"/>
              <w:right w:val="single" w:sz="4" w:space="0" w:color="BFBFBF"/>
            </w:tcBorders>
            <w:shd w:val="clear" w:color="auto" w:fill="F2F2F2"/>
          </w:tcPr>
          <w:p w14:paraId="01C88B03" w14:textId="77777777" w:rsidR="008D07DC" w:rsidRDefault="008D07DC" w:rsidP="00602B0C">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0589910A" w14:textId="77777777" w:rsidR="008D07DC" w:rsidRDefault="008D07DC" w:rsidP="00602B0C">
            <w:r>
              <w:rPr>
                <w:rFonts w:ascii="Cambria" w:eastAsia="Cambria" w:hAnsi="Cambria" w:cs="Cambria"/>
              </w:rPr>
              <w:t xml:space="preserve">Rektör  </w:t>
            </w:r>
          </w:p>
        </w:tc>
      </w:tr>
      <w:tr w:rsidR="008D07DC" w14:paraId="32737D2E" w14:textId="77777777" w:rsidTr="00602B0C">
        <w:trPr>
          <w:trHeight w:val="268"/>
        </w:trPr>
        <w:tc>
          <w:tcPr>
            <w:tcW w:w="3123" w:type="dxa"/>
            <w:tcBorders>
              <w:top w:val="single" w:sz="4" w:space="0" w:color="BFBFBF"/>
              <w:left w:val="single" w:sz="4" w:space="0" w:color="BFBFBF"/>
              <w:bottom w:val="single" w:sz="4" w:space="0" w:color="BFBFBF"/>
              <w:right w:val="single" w:sz="4" w:space="0" w:color="BFBFBF"/>
            </w:tcBorders>
            <w:shd w:val="clear" w:color="auto" w:fill="F2F2F2"/>
          </w:tcPr>
          <w:p w14:paraId="22F559AD" w14:textId="77777777" w:rsidR="008D07DC" w:rsidRDefault="008D07DC" w:rsidP="00602B0C">
            <w:pPr>
              <w:ind w:right="48"/>
              <w:jc w:val="right"/>
            </w:pPr>
            <w:r>
              <w:rPr>
                <w:rFonts w:ascii="Cambria" w:eastAsia="Cambria" w:hAnsi="Cambria" w:cs="Cambria"/>
                <w:b/>
                <w:color w:val="002060"/>
              </w:rPr>
              <w:t xml:space="preserve">Yokluğunda Vekâlet Edecek </w:t>
            </w:r>
          </w:p>
        </w:tc>
        <w:tc>
          <w:tcPr>
            <w:tcW w:w="6378" w:type="dxa"/>
            <w:tcBorders>
              <w:top w:val="single" w:sz="4" w:space="0" w:color="BFBFBF"/>
              <w:left w:val="single" w:sz="4" w:space="0" w:color="BFBFBF"/>
              <w:bottom w:val="single" w:sz="4" w:space="0" w:color="BFBFBF"/>
              <w:right w:val="single" w:sz="4" w:space="0" w:color="BFBFBF"/>
            </w:tcBorders>
          </w:tcPr>
          <w:p w14:paraId="397E0430" w14:textId="77777777" w:rsidR="008D07DC" w:rsidRDefault="008D07DC" w:rsidP="00602B0C">
            <w:r>
              <w:rPr>
                <w:rFonts w:ascii="Cambria" w:eastAsia="Cambria" w:hAnsi="Cambria" w:cs="Cambria"/>
              </w:rPr>
              <w:t xml:space="preserve">Müdür Yardımcısı </w:t>
            </w:r>
          </w:p>
        </w:tc>
      </w:tr>
    </w:tbl>
    <w:p w14:paraId="61BE1D86" w14:textId="49CC3C2B" w:rsidR="008D07DC" w:rsidRDefault="008D07DC" w:rsidP="008D07DC"/>
    <w:tbl>
      <w:tblPr>
        <w:tblStyle w:val="TableGrid"/>
        <w:tblW w:w="9631" w:type="dxa"/>
        <w:tblInd w:w="7" w:type="dxa"/>
        <w:tblCellMar>
          <w:top w:w="3" w:type="dxa"/>
          <w:left w:w="130" w:type="dxa"/>
          <w:right w:w="50" w:type="dxa"/>
        </w:tblCellMar>
        <w:tblLook w:val="04A0" w:firstRow="1" w:lastRow="0" w:firstColumn="1" w:lastColumn="0" w:noHBand="0" w:noVBand="1"/>
      </w:tblPr>
      <w:tblGrid>
        <w:gridCol w:w="9631"/>
      </w:tblGrid>
      <w:tr w:rsidR="008D07DC" w14:paraId="3FE0AEEB" w14:textId="77777777" w:rsidTr="00602B0C">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4DB8A6B8" w14:textId="77777777" w:rsidR="008D07DC" w:rsidRDefault="008D07DC" w:rsidP="00602B0C">
            <w:pPr>
              <w:ind w:right="75"/>
              <w:jc w:val="center"/>
            </w:pPr>
            <w:r>
              <w:rPr>
                <w:rFonts w:ascii="Cambria" w:eastAsia="Cambria" w:hAnsi="Cambria" w:cs="Cambria"/>
                <w:b/>
                <w:color w:val="002060"/>
              </w:rPr>
              <w:t xml:space="preserve">Görevin/İşin Kısa Tanımı </w:t>
            </w:r>
          </w:p>
        </w:tc>
      </w:tr>
      <w:tr w:rsidR="008D07DC" w14:paraId="33D9692F" w14:textId="77777777" w:rsidTr="00335925">
        <w:trPr>
          <w:trHeight w:val="1298"/>
        </w:trPr>
        <w:tc>
          <w:tcPr>
            <w:tcW w:w="9631" w:type="dxa"/>
            <w:tcBorders>
              <w:top w:val="single" w:sz="4" w:space="0" w:color="BFBFBF"/>
              <w:left w:val="single" w:sz="4" w:space="0" w:color="BFBFBF"/>
              <w:bottom w:val="single" w:sz="4" w:space="0" w:color="BFBFBF"/>
              <w:right w:val="single" w:sz="4" w:space="0" w:color="BFBFBF"/>
            </w:tcBorders>
          </w:tcPr>
          <w:p w14:paraId="797C6270" w14:textId="7A7B2661" w:rsidR="008D07DC" w:rsidRDefault="008D07DC" w:rsidP="00335925">
            <w:pPr>
              <w:spacing w:after="4" w:line="238" w:lineRule="auto"/>
              <w:ind w:right="53"/>
              <w:jc w:val="both"/>
            </w:pPr>
            <w:r>
              <w:rPr>
                <w:rFonts w:ascii="Times New Roman" w:eastAsia="Times New Roman" w:hAnsi="Times New Roman" w:cs="Times New Roman"/>
              </w:rPr>
              <w:t xml:space="preserve">2547 </w:t>
            </w:r>
            <w:proofErr w:type="gramStart"/>
            <w:r>
              <w:rPr>
                <w:rFonts w:ascii="Times New Roman" w:eastAsia="Times New Roman" w:hAnsi="Times New Roman" w:cs="Times New Roman"/>
              </w:rPr>
              <w:t>Sayılı</w:t>
            </w:r>
            <w:r w:rsidR="00335925">
              <w:rPr>
                <w:rFonts w:ascii="Times New Roman" w:eastAsia="Times New Roman" w:hAnsi="Times New Roman" w:cs="Times New Roman"/>
              </w:rPr>
              <w:t xml:space="preserve"> </w:t>
            </w:r>
            <w:r>
              <w:rPr>
                <w:rFonts w:ascii="Times New Roman" w:eastAsia="Times New Roman" w:hAnsi="Times New Roman" w:cs="Times New Roman"/>
              </w:rPr>
              <w:t>Kanuna</w:t>
            </w:r>
            <w:proofErr w:type="gramEnd"/>
            <w:r>
              <w:rPr>
                <w:rFonts w:ascii="Times New Roman" w:eastAsia="Times New Roman" w:hAnsi="Times New Roman" w:cs="Times New Roman"/>
              </w:rPr>
              <w:t xml:space="preserve"> göre 3 (üç) yıllığına rektör tarafından atanır ve doğrudan rektöre bağlı olarak görev yapar. Pamukkale Üniversitesi üst yönetimi tarafından belirlenen amaç ve ilkelere uygun olarak; birimin tüm faaliyetleri ile ilgili, etkenlik ve verimlilik ilkelerine uygun olarak yürütülmesi amacıyla çalışmalar yapmak. Enstitünün vizyonu, misyonu doğrultusunda eğitim ve öğretimi gerçekleştirmek için çalışmaları yapmak, planlamak, yönlendirmek, koordine etmek ve denetlemek. </w:t>
            </w:r>
          </w:p>
        </w:tc>
      </w:tr>
    </w:tbl>
    <w:tbl>
      <w:tblPr>
        <w:tblStyle w:val="TableGrid"/>
        <w:tblpPr w:vertAnchor="page" w:horzAnchor="margin" w:tblpY="7959"/>
        <w:tblOverlap w:val="never"/>
        <w:tblW w:w="8782" w:type="dxa"/>
        <w:tblInd w:w="0" w:type="dxa"/>
        <w:tblCellMar>
          <w:top w:w="3" w:type="dxa"/>
          <w:right w:w="50" w:type="dxa"/>
        </w:tblCellMar>
        <w:tblLook w:val="04A0" w:firstRow="1" w:lastRow="0" w:firstColumn="1" w:lastColumn="0" w:noHBand="0" w:noVBand="1"/>
      </w:tblPr>
      <w:tblGrid>
        <w:gridCol w:w="8782"/>
      </w:tblGrid>
      <w:tr w:rsidR="00335925" w14:paraId="70A7D410" w14:textId="77777777" w:rsidTr="00335925">
        <w:trPr>
          <w:trHeight w:val="67"/>
        </w:trPr>
        <w:tc>
          <w:tcPr>
            <w:tcW w:w="8782" w:type="dxa"/>
            <w:tcBorders>
              <w:top w:val="single" w:sz="4" w:space="0" w:color="BFBFBF"/>
              <w:left w:val="nil"/>
              <w:bottom w:val="single" w:sz="4" w:space="0" w:color="BFBFBF"/>
              <w:right w:val="single" w:sz="4" w:space="0" w:color="BFBFBF"/>
            </w:tcBorders>
            <w:shd w:val="clear" w:color="auto" w:fill="F2F2F2"/>
          </w:tcPr>
          <w:p w14:paraId="27EAAAD1" w14:textId="77777777" w:rsidR="00335925" w:rsidRDefault="00335925" w:rsidP="00335925">
            <w:pPr>
              <w:ind w:left="2443"/>
            </w:pPr>
            <w:r>
              <w:rPr>
                <w:rFonts w:ascii="Cambria" w:eastAsia="Cambria" w:hAnsi="Cambria" w:cs="Cambria"/>
                <w:b/>
                <w:color w:val="002060"/>
              </w:rPr>
              <w:t xml:space="preserve">Görev, Yetki ve Sorumluluklar </w:t>
            </w:r>
          </w:p>
        </w:tc>
      </w:tr>
      <w:tr w:rsidR="00335925" w14:paraId="78856AD2" w14:textId="77777777" w:rsidTr="00335925">
        <w:trPr>
          <w:trHeight w:val="779"/>
        </w:trPr>
        <w:tc>
          <w:tcPr>
            <w:tcW w:w="8782" w:type="dxa"/>
            <w:tcBorders>
              <w:top w:val="single" w:sz="4" w:space="0" w:color="BFBFBF"/>
              <w:left w:val="nil"/>
              <w:bottom w:val="nil"/>
              <w:right w:val="single" w:sz="4" w:space="0" w:color="BFBFBF"/>
            </w:tcBorders>
          </w:tcPr>
          <w:p w14:paraId="717F563B" w14:textId="77777777" w:rsidR="00335925" w:rsidRDefault="00335925" w:rsidP="00335925">
            <w:r>
              <w:rPr>
                <w:rFonts w:ascii="Times New Roman" w:eastAsia="Times New Roman" w:hAnsi="Times New Roman" w:cs="Times New Roman"/>
              </w:rPr>
              <w:t xml:space="preserve"> </w:t>
            </w:r>
          </w:p>
          <w:p w14:paraId="3D1C0F58" w14:textId="77777777" w:rsidR="00335925" w:rsidRDefault="00335925" w:rsidP="00335925">
            <w:pPr>
              <w:jc w:val="both"/>
            </w:pPr>
            <w:r>
              <w:rPr>
                <w:rFonts w:ascii="Times New Roman" w:eastAsia="Times New Roman" w:hAnsi="Times New Roman" w:cs="Times New Roman"/>
              </w:rPr>
              <w:t>-</w:t>
            </w:r>
            <w:r w:rsidRPr="00A6216B">
              <w:rPr>
                <w:rFonts w:ascii="Times New Roman" w:eastAsia="Times New Roman" w:hAnsi="Times New Roman" w:cs="Times New Roman"/>
              </w:rPr>
              <w:t xml:space="preserve">Enstitü kurullarına (Enstitü Kurulu ve Enstitü Yönetim Kurulu) başkanlık etmek, enstitü kurullarının kararlarını uygulamak ve enstitü birimleri arasında düzenli çalışmayı sağlamak. </w:t>
            </w:r>
          </w:p>
        </w:tc>
      </w:tr>
      <w:tr w:rsidR="00335925" w14:paraId="4B3618CB" w14:textId="77777777" w:rsidTr="00335925">
        <w:trPr>
          <w:trHeight w:val="522"/>
        </w:trPr>
        <w:tc>
          <w:tcPr>
            <w:tcW w:w="8782" w:type="dxa"/>
            <w:tcBorders>
              <w:top w:val="nil"/>
              <w:left w:val="nil"/>
              <w:bottom w:val="nil"/>
              <w:right w:val="single" w:sz="4" w:space="0" w:color="BFBFBF"/>
            </w:tcBorders>
          </w:tcPr>
          <w:p w14:paraId="316001E9" w14:textId="77777777" w:rsidR="00335925" w:rsidRDefault="00335925" w:rsidP="00335925">
            <w:r>
              <w:rPr>
                <w:rFonts w:ascii="Times New Roman" w:eastAsia="Times New Roman" w:hAnsi="Times New Roman" w:cs="Times New Roman"/>
              </w:rPr>
              <w:t xml:space="preserve">-Her öğretim yılı sonunda ve istendiğinde enstitünün genel durumu ve işleyişi hakkında rektöre rapor vermek  </w:t>
            </w:r>
          </w:p>
        </w:tc>
      </w:tr>
      <w:tr w:rsidR="00335925" w14:paraId="49A967EB" w14:textId="77777777" w:rsidTr="00335925">
        <w:trPr>
          <w:trHeight w:val="521"/>
        </w:trPr>
        <w:tc>
          <w:tcPr>
            <w:tcW w:w="8782" w:type="dxa"/>
            <w:tcBorders>
              <w:top w:val="nil"/>
              <w:left w:val="nil"/>
              <w:bottom w:val="nil"/>
              <w:right w:val="single" w:sz="4" w:space="0" w:color="BFBFBF"/>
            </w:tcBorders>
          </w:tcPr>
          <w:p w14:paraId="7561F2B8" w14:textId="77777777" w:rsidR="00335925" w:rsidRDefault="00335925" w:rsidP="00335925">
            <w:pPr>
              <w:jc w:val="both"/>
            </w:pPr>
            <w:r>
              <w:rPr>
                <w:rFonts w:ascii="Times New Roman" w:eastAsia="Times New Roman" w:hAnsi="Times New Roman" w:cs="Times New Roman"/>
              </w:rPr>
              <w:t xml:space="preserve">-Enstitünün ödenek ve kadro ihtiyaçlarını gerekçesi ile birlikte rektörlüğe bildirmek ve enstitünün bütçesi ile ilgili öneriyi enstitü yönetim kurulunun da görüşünü aldıktan sonra rektörlüğe sunmak </w:t>
            </w:r>
          </w:p>
        </w:tc>
      </w:tr>
      <w:tr w:rsidR="00335925" w14:paraId="5B9FD1FF" w14:textId="77777777" w:rsidTr="00335925">
        <w:trPr>
          <w:trHeight w:val="522"/>
        </w:trPr>
        <w:tc>
          <w:tcPr>
            <w:tcW w:w="8782" w:type="dxa"/>
            <w:tcBorders>
              <w:top w:val="nil"/>
              <w:left w:val="nil"/>
              <w:bottom w:val="nil"/>
              <w:right w:val="single" w:sz="4" w:space="0" w:color="BFBFBF"/>
            </w:tcBorders>
          </w:tcPr>
          <w:p w14:paraId="03046B95" w14:textId="77777777" w:rsidR="00335925" w:rsidRDefault="00335925" w:rsidP="00335925">
            <w:pPr>
              <w:jc w:val="both"/>
            </w:pPr>
            <w:r>
              <w:rPr>
                <w:rFonts w:ascii="Times New Roman" w:eastAsia="Times New Roman" w:hAnsi="Times New Roman" w:cs="Times New Roman"/>
              </w:rPr>
              <w:t xml:space="preserve"> -Enstitünün birimleri ve her düzeydeki personeli üzerinde genel gözetim ve denetim görevini yapmak  </w:t>
            </w:r>
          </w:p>
        </w:tc>
      </w:tr>
      <w:tr w:rsidR="00335925" w14:paraId="72A262A4" w14:textId="77777777" w:rsidTr="00335925">
        <w:trPr>
          <w:trHeight w:val="522"/>
        </w:trPr>
        <w:tc>
          <w:tcPr>
            <w:tcW w:w="8782" w:type="dxa"/>
            <w:tcBorders>
              <w:top w:val="nil"/>
              <w:left w:val="nil"/>
              <w:bottom w:val="nil"/>
              <w:right w:val="single" w:sz="4" w:space="0" w:color="BFBFBF"/>
            </w:tcBorders>
          </w:tcPr>
          <w:p w14:paraId="1D481D8D" w14:textId="77777777" w:rsidR="00335925" w:rsidRDefault="00335925" w:rsidP="00335925">
            <w:pPr>
              <w:jc w:val="both"/>
            </w:pPr>
            <w:r>
              <w:rPr>
                <w:rFonts w:ascii="Times New Roman" w:eastAsia="Times New Roman" w:hAnsi="Times New Roman" w:cs="Times New Roman"/>
              </w:rPr>
              <w:t xml:space="preserve">-Kendisine yardımcı olmak üzere enstitünün aylıklı öğretim elemanları arasından en çok iki yardımcı seçmek ve görev alanlarını belirlemek  </w:t>
            </w:r>
          </w:p>
        </w:tc>
      </w:tr>
      <w:tr w:rsidR="00335925" w14:paraId="0C319234" w14:textId="77777777" w:rsidTr="00335925">
        <w:trPr>
          <w:trHeight w:val="522"/>
        </w:trPr>
        <w:tc>
          <w:tcPr>
            <w:tcW w:w="8782" w:type="dxa"/>
            <w:tcBorders>
              <w:top w:val="nil"/>
              <w:left w:val="nil"/>
              <w:bottom w:val="nil"/>
              <w:right w:val="single" w:sz="4" w:space="0" w:color="BFBFBF"/>
            </w:tcBorders>
          </w:tcPr>
          <w:p w14:paraId="5AAF252A" w14:textId="77777777" w:rsidR="00335925" w:rsidRDefault="00335925" w:rsidP="00335925">
            <w:pPr>
              <w:jc w:val="both"/>
            </w:pPr>
            <w:r>
              <w:rPr>
                <w:rFonts w:ascii="Times New Roman" w:eastAsia="Times New Roman" w:hAnsi="Times New Roman" w:cs="Times New Roman"/>
              </w:rPr>
              <w:t xml:space="preserve">-Enstitünün amaçlarına uygun görevleri yerine getirmek üzere kurulan disiplinler arası anabilim dallarının başkanlarını atamak ve bilgi için rektörlüğe bildirmek  </w:t>
            </w:r>
          </w:p>
        </w:tc>
      </w:tr>
      <w:tr w:rsidR="00335925" w14:paraId="17ED5931" w14:textId="77777777" w:rsidTr="00335925">
        <w:trPr>
          <w:trHeight w:val="522"/>
        </w:trPr>
        <w:tc>
          <w:tcPr>
            <w:tcW w:w="8782" w:type="dxa"/>
            <w:tcBorders>
              <w:top w:val="nil"/>
              <w:left w:val="nil"/>
              <w:bottom w:val="nil"/>
              <w:right w:val="single" w:sz="4" w:space="0" w:color="BFBFBF"/>
            </w:tcBorders>
          </w:tcPr>
          <w:p w14:paraId="64C2957A" w14:textId="77777777" w:rsidR="00335925" w:rsidRDefault="00335925" w:rsidP="00335925">
            <w:r>
              <w:rPr>
                <w:rFonts w:ascii="Times New Roman" w:eastAsia="Times New Roman" w:hAnsi="Times New Roman" w:cs="Times New Roman"/>
              </w:rPr>
              <w:t xml:space="preserve">-Enstitü içindeki birimler ve kişiler arasında; enstitü ile diğer kurumlar arasındaki ilişkileri geliştirmek  </w:t>
            </w:r>
          </w:p>
        </w:tc>
      </w:tr>
      <w:tr w:rsidR="00335925" w14:paraId="572828EB" w14:textId="77777777" w:rsidTr="00335925">
        <w:trPr>
          <w:trHeight w:val="774"/>
        </w:trPr>
        <w:tc>
          <w:tcPr>
            <w:tcW w:w="8782" w:type="dxa"/>
            <w:tcBorders>
              <w:top w:val="nil"/>
              <w:left w:val="nil"/>
              <w:bottom w:val="nil"/>
              <w:right w:val="single" w:sz="4" w:space="0" w:color="BFBFBF"/>
            </w:tcBorders>
          </w:tcPr>
          <w:p w14:paraId="0783678C" w14:textId="77777777" w:rsidR="00335925" w:rsidRDefault="00335925" w:rsidP="00335925">
            <w:r>
              <w:rPr>
                <w:rFonts w:ascii="Times New Roman" w:eastAsia="Times New Roman" w:hAnsi="Times New Roman" w:cs="Times New Roman"/>
              </w:rPr>
              <w:t xml:space="preserve">-Enstitü müdür, müdür yardımcıları ve anabilim dalı başkanlarından oluşan, akademik bir organ olan Enstitü Kurulunu yılda iki kez toplamak; Kurul toplantılarında başkanlık yapmak ve alınan kararları uygulamak  </w:t>
            </w:r>
          </w:p>
        </w:tc>
      </w:tr>
      <w:tr w:rsidR="00335925" w14:paraId="0D64F8A9" w14:textId="77777777" w:rsidTr="00335925">
        <w:trPr>
          <w:trHeight w:val="775"/>
        </w:trPr>
        <w:tc>
          <w:tcPr>
            <w:tcW w:w="8782" w:type="dxa"/>
            <w:tcBorders>
              <w:top w:val="nil"/>
              <w:left w:val="nil"/>
              <w:bottom w:val="nil"/>
              <w:right w:val="single" w:sz="4" w:space="0" w:color="BFBFBF"/>
            </w:tcBorders>
          </w:tcPr>
          <w:p w14:paraId="3AB6AF04" w14:textId="77777777" w:rsidR="00335925" w:rsidRDefault="00335925" w:rsidP="00335925">
            <w:pPr>
              <w:ind w:right="54"/>
              <w:jc w:val="both"/>
            </w:pPr>
            <w:r>
              <w:rPr>
                <w:rFonts w:ascii="Times New Roman" w:eastAsia="Times New Roman" w:hAnsi="Times New Roman" w:cs="Times New Roman"/>
              </w:rPr>
              <w:t xml:space="preserve">-Yönetsel bir organ olan Enstitünün Yönetim Kurulunu ilgili Yasa ve yönetmelik hükümleri çerçevesinde oluşturmak; Kurul toplantılarına başkanlık yapmak, enstitünün yönetimi ile ilgili konularda kararlar verilmesini sağlamak ve verilen kararları uygulamak  </w:t>
            </w:r>
          </w:p>
        </w:tc>
      </w:tr>
      <w:tr w:rsidR="00335925" w14:paraId="32B194A9" w14:textId="77777777" w:rsidTr="00335925">
        <w:trPr>
          <w:trHeight w:val="522"/>
        </w:trPr>
        <w:tc>
          <w:tcPr>
            <w:tcW w:w="8782" w:type="dxa"/>
            <w:tcBorders>
              <w:top w:val="nil"/>
              <w:left w:val="nil"/>
              <w:bottom w:val="nil"/>
              <w:right w:val="single" w:sz="4" w:space="0" w:color="BFBFBF"/>
            </w:tcBorders>
          </w:tcPr>
          <w:p w14:paraId="75A41474" w14:textId="77777777" w:rsidR="00335925" w:rsidRDefault="00335925" w:rsidP="00335925">
            <w:r>
              <w:rPr>
                <w:rFonts w:ascii="Times New Roman" w:eastAsia="Times New Roman" w:hAnsi="Times New Roman" w:cs="Times New Roman"/>
              </w:rPr>
              <w:t xml:space="preserve">-Enstitünün akademik ve idari personelinin yetiştirilmesi ve yetkinliğinin geliştirilmesi için gerekli imkanları sağlamak  </w:t>
            </w:r>
          </w:p>
        </w:tc>
      </w:tr>
      <w:tr w:rsidR="00335925" w14:paraId="75E061A4" w14:textId="77777777" w:rsidTr="00335925">
        <w:trPr>
          <w:trHeight w:val="774"/>
        </w:trPr>
        <w:tc>
          <w:tcPr>
            <w:tcW w:w="8782" w:type="dxa"/>
            <w:tcBorders>
              <w:top w:val="nil"/>
              <w:left w:val="nil"/>
              <w:bottom w:val="nil"/>
              <w:right w:val="single" w:sz="4" w:space="0" w:color="BFBFBF"/>
            </w:tcBorders>
          </w:tcPr>
          <w:p w14:paraId="61A0EE3C" w14:textId="77777777" w:rsidR="00335925" w:rsidRDefault="00335925" w:rsidP="00335925">
            <w:pPr>
              <w:ind w:right="53"/>
              <w:jc w:val="both"/>
            </w:pPr>
            <w:r>
              <w:rPr>
                <w:rFonts w:ascii="Times New Roman" w:eastAsia="Times New Roman" w:hAnsi="Times New Roman" w:cs="Times New Roman"/>
              </w:rPr>
              <w:t xml:space="preserve"> -Enstitünün geleceğe yönelik politikalarının ve planlarının oluşturulması için gerekli çalışma ve araştırmaları yaptırmak. Üniversite Yönetim Kuruluna, Üniversite Senatosuna katılmak ve Enstitü ile ilgili konularda gerekli bilgileri sunmak  </w:t>
            </w:r>
          </w:p>
        </w:tc>
      </w:tr>
      <w:tr w:rsidR="00335925" w14:paraId="1B5049BD" w14:textId="77777777" w:rsidTr="00335925">
        <w:trPr>
          <w:trHeight w:val="775"/>
        </w:trPr>
        <w:tc>
          <w:tcPr>
            <w:tcW w:w="8782" w:type="dxa"/>
            <w:tcBorders>
              <w:top w:val="nil"/>
              <w:left w:val="nil"/>
              <w:bottom w:val="nil"/>
              <w:right w:val="single" w:sz="4" w:space="0" w:color="BFBFBF"/>
            </w:tcBorders>
          </w:tcPr>
          <w:p w14:paraId="3C0EB55B" w14:textId="4B21C4C5" w:rsidR="00335925" w:rsidRDefault="00335925" w:rsidP="00335925">
            <w:pPr>
              <w:ind w:right="53"/>
              <w:jc w:val="both"/>
            </w:pPr>
            <w:r>
              <w:rPr>
                <w:rFonts w:ascii="Times New Roman" w:eastAsia="Times New Roman" w:hAnsi="Times New Roman" w:cs="Times New Roman"/>
              </w:rPr>
              <w:lastRenderedPageBreak/>
              <w:t xml:space="preserve"> -Rektörlükçe üye seçildiği komisyonlarda bulunmak ve enstitüyü temsil etmek) Enstitü personelini görevlendirmeye, çalışmalarını izlemeye, denetlemeye, ödüllendirmeye, yasa ve yönetmelik hükümleri çerçevesinde cezalandırmaya yetkilidir.  </w:t>
            </w:r>
          </w:p>
        </w:tc>
      </w:tr>
      <w:tr w:rsidR="00335925" w14:paraId="41974F2F" w14:textId="77777777" w:rsidTr="00335925">
        <w:trPr>
          <w:trHeight w:val="1034"/>
        </w:trPr>
        <w:tc>
          <w:tcPr>
            <w:tcW w:w="8782" w:type="dxa"/>
            <w:tcBorders>
              <w:top w:val="nil"/>
              <w:left w:val="nil"/>
              <w:bottom w:val="single" w:sz="4" w:space="0" w:color="BFBFBF"/>
              <w:right w:val="single" w:sz="4" w:space="0" w:color="BFBFBF"/>
            </w:tcBorders>
          </w:tcPr>
          <w:p w14:paraId="21A1F6FA" w14:textId="77777777" w:rsidR="00335925" w:rsidRDefault="00335925" w:rsidP="00335925">
            <w:pPr>
              <w:ind w:right="53"/>
              <w:jc w:val="both"/>
              <w:rPr>
                <w:rFonts w:ascii="Times New Roman" w:eastAsia="Times New Roman" w:hAnsi="Times New Roman" w:cs="Times New Roman"/>
              </w:rPr>
            </w:pPr>
            <w:r>
              <w:rPr>
                <w:rFonts w:ascii="Times New Roman" w:eastAsia="Times New Roman" w:hAnsi="Times New Roman" w:cs="Times New Roman"/>
              </w:rPr>
              <w:t xml:space="preserve">-Öğretim kapasitesinin rasyonel bir şekilde kullanılmasında ve geliştirilmesinde, gerektiği zaman güvenlik önlemlerinin alınmasında, öğrencilere gerekli sosyal hizmetlerin sağlanmasında, bütün faaliyetlerin gözetim ve denetiminin yapılmasında, takip ve kontrol edilmesinde ve sonuçlarının alınmasında rektöre karşı birinci derecede sorumludur. </w:t>
            </w:r>
          </w:p>
          <w:p w14:paraId="3F167806" w14:textId="7F0EAED4" w:rsidR="00335925" w:rsidRDefault="00335925" w:rsidP="00335925">
            <w:pPr>
              <w:ind w:right="53"/>
              <w:jc w:val="both"/>
              <w:rPr>
                <w:rFonts w:ascii="Times New Roman" w:eastAsia="Times New Roman" w:hAnsi="Times New Roman" w:cs="Times New Roman"/>
              </w:rPr>
            </w:pPr>
            <w:r>
              <w:rPr>
                <w:rFonts w:ascii="Times New Roman" w:eastAsia="Times New Roman" w:hAnsi="Times New Roman" w:cs="Times New Roman"/>
              </w:rPr>
              <w:t>-2547 sayılı Kanunla kendisine verilen diğer görevleri yapar.</w:t>
            </w:r>
          </w:p>
          <w:p w14:paraId="71560601" w14:textId="77777777" w:rsidR="00335925" w:rsidRDefault="00335925" w:rsidP="00335925">
            <w:pPr>
              <w:ind w:right="53"/>
              <w:jc w:val="both"/>
              <w:rPr>
                <w:rFonts w:ascii="Times New Roman" w:eastAsia="Times New Roman" w:hAnsi="Times New Roman" w:cs="Times New Roman"/>
              </w:rPr>
            </w:pPr>
          </w:p>
          <w:p w14:paraId="50E7E5D4" w14:textId="725749B8" w:rsidR="00335925" w:rsidRDefault="00335925" w:rsidP="00335925">
            <w:pPr>
              <w:ind w:right="53"/>
              <w:jc w:val="both"/>
              <w:rPr>
                <w:rFonts w:ascii="Times New Roman" w:eastAsia="Times New Roman" w:hAnsi="Times New Roman" w:cs="Times New Roman"/>
              </w:rPr>
            </w:pPr>
          </w:p>
          <w:p w14:paraId="72299DCA" w14:textId="112EF133" w:rsidR="00335925" w:rsidRDefault="00335925" w:rsidP="00335925">
            <w:pPr>
              <w:ind w:right="53"/>
              <w:jc w:val="both"/>
            </w:pPr>
          </w:p>
        </w:tc>
      </w:tr>
    </w:tbl>
    <w:p w14:paraId="6C2BD8B9" w14:textId="5DA94673" w:rsidR="00546342" w:rsidRDefault="00546342" w:rsidP="00EE41FA">
      <w:pPr>
        <w:spacing w:after="0"/>
      </w:pPr>
    </w:p>
    <w:p w14:paraId="69263010" w14:textId="77777777" w:rsidR="00546342" w:rsidRDefault="008E32D3">
      <w:pPr>
        <w:spacing w:after="0"/>
      </w:pPr>
      <w:r>
        <w:rPr>
          <w:rFonts w:ascii="Times New Roman" w:eastAsia="Times New Roman" w:hAnsi="Times New Roman" w:cs="Times New Roman"/>
          <w:sz w:val="24"/>
        </w:rPr>
        <w:t xml:space="preserve"> </w:t>
      </w:r>
    </w:p>
    <w:p w14:paraId="0D3EADC6" w14:textId="77777777" w:rsidR="00546342" w:rsidRDefault="008E32D3">
      <w:pPr>
        <w:spacing w:after="0"/>
      </w:pPr>
      <w:r>
        <w:rPr>
          <w:rFonts w:ascii="Times New Roman" w:eastAsia="Times New Roman" w:hAnsi="Times New Roman" w:cs="Times New Roman"/>
        </w:rPr>
        <w:t xml:space="preserve"> </w:t>
      </w:r>
    </w:p>
    <w:sectPr w:rsidR="00546342">
      <w:headerReference w:type="default" r:id="rId8"/>
      <w:pgSz w:w="11904" w:h="16840"/>
      <w:pgMar w:top="717" w:right="1289" w:bottom="151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F3D9" w14:textId="77777777" w:rsidR="004569D7" w:rsidRDefault="004569D7" w:rsidP="00B45855">
      <w:pPr>
        <w:spacing w:after="0" w:line="240" w:lineRule="auto"/>
      </w:pPr>
      <w:r>
        <w:separator/>
      </w:r>
    </w:p>
  </w:endnote>
  <w:endnote w:type="continuationSeparator" w:id="0">
    <w:p w14:paraId="5B5C45AE" w14:textId="77777777" w:rsidR="004569D7" w:rsidRDefault="004569D7" w:rsidP="00B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4CE5" w14:textId="77777777" w:rsidR="004569D7" w:rsidRDefault="004569D7" w:rsidP="00B45855">
      <w:pPr>
        <w:spacing w:after="0" w:line="240" w:lineRule="auto"/>
      </w:pPr>
      <w:r>
        <w:separator/>
      </w:r>
    </w:p>
  </w:footnote>
  <w:footnote w:type="continuationSeparator" w:id="0">
    <w:p w14:paraId="65BE4220" w14:textId="77777777" w:rsidR="004569D7" w:rsidRDefault="004569D7" w:rsidP="00B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8B13" w14:textId="50761C64" w:rsidR="00B45855" w:rsidRDefault="00207F6D">
    <w:pPr>
      <w:pStyle w:val="stBilgi"/>
    </w:pPr>
    <w:r>
      <w:rPr>
        <w:noProof/>
      </w:rPr>
      <w:drawing>
        <wp:inline distT="0" distB="0" distL="0" distR="0" wp14:anchorId="65C8F02A" wp14:editId="68B26474">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sidR="00B45855" w:rsidRPr="00207F6D">
      <w:rPr>
        <w:b/>
        <w:bCs/>
        <w:sz w:val="28"/>
        <w:szCs w:val="28"/>
      </w:rPr>
      <w:ptab w:relativeTo="margin" w:alignment="center" w:leader="none"/>
    </w:r>
    <w:r w:rsidR="00B45855" w:rsidRPr="00207F6D">
      <w:rPr>
        <w:b/>
        <w:bCs/>
        <w:sz w:val="28"/>
        <w:szCs w:val="28"/>
      </w:rPr>
      <w:t>GÖREV TANIMI</w:t>
    </w:r>
    <w:r w:rsidR="00B45855" w:rsidRPr="00207F6D">
      <w:rPr>
        <w:b/>
        <w:bCs/>
        <w:sz w:val="28"/>
        <w:szCs w:val="28"/>
      </w:rPr>
      <w:ptab w:relativeTo="margin" w:alignment="right" w:leader="none"/>
    </w:r>
    <w:r>
      <w:rPr>
        <w:noProof/>
      </w:rPr>
      <w:drawing>
        <wp:inline distT="0" distB="0" distL="0" distR="0" wp14:anchorId="17EB81B9" wp14:editId="40DC4736">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E1CD5"/>
    <w:multiLevelType w:val="hybridMultilevel"/>
    <w:tmpl w:val="3FC4B476"/>
    <w:lvl w:ilvl="0" w:tplc="826CE3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42"/>
    <w:rsid w:val="00036D7C"/>
    <w:rsid w:val="00207F6D"/>
    <w:rsid w:val="002D10F4"/>
    <w:rsid w:val="00335925"/>
    <w:rsid w:val="004569D7"/>
    <w:rsid w:val="00546342"/>
    <w:rsid w:val="007B1CBE"/>
    <w:rsid w:val="008D07DC"/>
    <w:rsid w:val="008E32D3"/>
    <w:rsid w:val="0099256D"/>
    <w:rsid w:val="00A6216B"/>
    <w:rsid w:val="00AB4212"/>
    <w:rsid w:val="00AB439D"/>
    <w:rsid w:val="00B45855"/>
    <w:rsid w:val="00B76779"/>
    <w:rsid w:val="00D2264B"/>
    <w:rsid w:val="00EE4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FFE2"/>
  <w15:docId w15:val="{B6871E80-C514-4874-AFEE-2ECD012C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44"/>
      <w:ind w:left="192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6216B"/>
    <w:pPr>
      <w:ind w:left="720"/>
      <w:contextualSpacing/>
    </w:pPr>
  </w:style>
  <w:style w:type="paragraph" w:styleId="stBilgi">
    <w:name w:val="header"/>
    <w:basedOn w:val="Normal"/>
    <w:link w:val="stBilgiChar"/>
    <w:uiPriority w:val="99"/>
    <w:unhideWhenUsed/>
    <w:rsid w:val="00B458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855"/>
    <w:rPr>
      <w:rFonts w:ascii="Calibri" w:eastAsia="Calibri" w:hAnsi="Calibri" w:cs="Calibri"/>
      <w:color w:val="000000"/>
    </w:rPr>
  </w:style>
  <w:style w:type="paragraph" w:styleId="AltBilgi">
    <w:name w:val="footer"/>
    <w:basedOn w:val="Normal"/>
    <w:link w:val="AltBilgiChar"/>
    <w:uiPriority w:val="99"/>
    <w:unhideWhenUsed/>
    <w:rsid w:val="00B458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585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7261-3DB4-42D3-AE6B-B0227463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2</cp:revision>
  <dcterms:created xsi:type="dcterms:W3CDTF">2022-01-03T12:42:00Z</dcterms:created>
  <dcterms:modified xsi:type="dcterms:W3CDTF">2022-01-03T12:42:00Z</dcterms:modified>
</cp:coreProperties>
</file>