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952BC7" w:rsidP="00FF4E0C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Dekanlık 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952BC7" w:rsidP="00DD12B3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F4E0C">
              <w:rPr>
                <w:rFonts w:ascii="Cambria" w:hAnsi="Cambria"/>
              </w:rPr>
              <w:t xml:space="preserve"> Yardımcısı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C50B5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947419" w:rsidRPr="0012131F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714096" w:rsidRPr="0012131F" w:rsidRDefault="00B24AEE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C50B5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Yokluğunda </w:t>
            </w:r>
            <w:proofErr w:type="gramStart"/>
            <w:r>
              <w:rPr>
                <w:rFonts w:ascii="Cambria" w:hAnsi="Cambria"/>
                <w:b/>
                <w:color w:val="002060"/>
              </w:rPr>
              <w:t>Veka</w:t>
            </w:r>
            <w:r w:rsidR="00714096" w:rsidRPr="0012131F">
              <w:rPr>
                <w:rFonts w:ascii="Cambria" w:hAnsi="Cambria"/>
                <w:b/>
                <w:color w:val="002060"/>
              </w:rPr>
              <w:t>let</w:t>
            </w:r>
            <w:proofErr w:type="gramEnd"/>
            <w:r w:rsidR="00714096" w:rsidRPr="0012131F">
              <w:rPr>
                <w:rFonts w:ascii="Cambria" w:hAnsi="Cambria"/>
                <w:b/>
                <w:color w:val="002060"/>
              </w:rPr>
              <w:t xml:space="preserve"> Edecek</w:t>
            </w:r>
          </w:p>
        </w:tc>
        <w:tc>
          <w:tcPr>
            <w:tcW w:w="6378" w:type="dxa"/>
          </w:tcPr>
          <w:p w:rsidR="00714096" w:rsidRPr="0012131F" w:rsidRDefault="005641FD" w:rsidP="001F457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 Yardımcısı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270D8" w:rsidRDefault="009C50B5" w:rsidP="002270D8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7A3EE6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7A3EE6">
              <w:rPr>
                <w:rFonts w:ascii="Cambria" w:hAnsi="Cambria"/>
              </w:rPr>
              <w:t xml:space="preserve"> ile ilgili</w:t>
            </w:r>
            <w:r w:rsidR="007A3EE6" w:rsidRPr="0012131F">
              <w:rPr>
                <w:rFonts w:ascii="Cambria" w:hAnsi="Cambria"/>
              </w:rPr>
              <w:t>, etkenlik ve verimlilik ilkelerine uygun olarak yürütülmesi amacıyla</w:t>
            </w:r>
            <w:r w:rsidR="007A3EE6">
              <w:rPr>
                <w:rFonts w:ascii="Cambria" w:hAnsi="Cambria"/>
              </w:rPr>
              <w:t xml:space="preserve"> çalışmalar yapmak. F</w:t>
            </w:r>
            <w:r w:rsidR="002270D8" w:rsidRPr="00E90DFF">
              <w:rPr>
                <w:rFonts w:ascii="Cambria" w:hAnsi="Cambria"/>
              </w:rPr>
              <w:t>akültenin vizyonu, misyonu doğrultusunda eğitim ve öğretimi gerçekleştirmek için çalışmaları yapmak, planlamak, yönlendirme</w:t>
            </w:r>
            <w:r w:rsidR="002270D8">
              <w:rPr>
                <w:rFonts w:ascii="Cambria" w:hAnsi="Cambria"/>
              </w:rPr>
              <w:t>k, koordine etmek ve denetlemeler hususunda Dekana yardım</w:t>
            </w:r>
            <w:r>
              <w:rPr>
                <w:rFonts w:ascii="Cambria" w:hAnsi="Cambria"/>
              </w:rPr>
              <w:t xml:space="preserve">cı olmak, yokluğunda yerine </w:t>
            </w:r>
            <w:proofErr w:type="gramStart"/>
            <w:r>
              <w:rPr>
                <w:rFonts w:ascii="Cambria" w:hAnsi="Cambria"/>
              </w:rPr>
              <w:t>veka</w:t>
            </w:r>
            <w:r w:rsidR="0074638C">
              <w:rPr>
                <w:rFonts w:ascii="Cambria" w:hAnsi="Cambria"/>
              </w:rPr>
              <w:t>let</w:t>
            </w:r>
            <w:proofErr w:type="gramEnd"/>
            <w:r w:rsidR="0074638C">
              <w:rPr>
                <w:rFonts w:ascii="Cambria" w:hAnsi="Cambria"/>
              </w:rPr>
              <w:t xml:space="preserve"> </w:t>
            </w:r>
            <w:r w:rsidR="002270D8">
              <w:rPr>
                <w:rFonts w:ascii="Cambria" w:hAnsi="Cambria"/>
              </w:rPr>
              <w:t>etmek.</w:t>
            </w:r>
          </w:p>
          <w:p w:rsidR="00207A80" w:rsidRPr="0012131F" w:rsidRDefault="00E90DFF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4814"/>
        <w:gridCol w:w="4814"/>
        <w:gridCol w:w="6"/>
      </w:tblGrid>
      <w:tr w:rsidR="00714096" w:rsidRPr="0012131F" w:rsidTr="0031037F">
        <w:tc>
          <w:tcPr>
            <w:tcW w:w="9634" w:type="dxa"/>
            <w:gridSpan w:val="3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31037F">
        <w:tc>
          <w:tcPr>
            <w:tcW w:w="9634" w:type="dxa"/>
            <w:gridSpan w:val="3"/>
            <w:shd w:val="clear" w:color="auto" w:fill="FFFFFF" w:themeFill="background1"/>
          </w:tcPr>
          <w:p w:rsidR="00146827" w:rsidRDefault="00146827" w:rsidP="00146827">
            <w:pPr>
              <w:pStyle w:val="AralkYok"/>
              <w:ind w:left="742"/>
              <w:jc w:val="both"/>
              <w:rPr>
                <w:rFonts w:ascii="Cambria" w:hAnsi="Cambria"/>
              </w:rPr>
            </w:pPr>
          </w:p>
          <w:p w:rsidR="00FC7E79" w:rsidRDefault="00FC7E79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Pusula Bilgi Sistemi Dokümantasyon Siteminden gelen alanıyla ilgili yazıların (</w:t>
            </w:r>
            <w:proofErr w:type="gramStart"/>
            <w:r>
              <w:rPr>
                <w:rFonts w:ascii="Cambria" w:hAnsi="Cambria"/>
              </w:rPr>
              <w:t>paraf,imza</w:t>
            </w:r>
            <w:proofErr w:type="gramEnd"/>
            <w:r>
              <w:rPr>
                <w:rFonts w:ascii="Cambria" w:hAnsi="Cambria"/>
              </w:rPr>
              <w:t>) gereğini yapmak.</w:t>
            </w:r>
          </w:p>
          <w:p w:rsidR="007F647D" w:rsidRDefault="007F647D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Öğrenciyle ilgili tüm işlemleri takip edip sosyal medyadan duyurulmasını sağlamak.</w:t>
            </w:r>
            <w:proofErr w:type="gramEnd"/>
          </w:p>
          <w:p w:rsidR="007F647D" w:rsidRDefault="007F647D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Fakülteye özel etkinlikleri organize edip, planlayıp düzenli yapılmasını sağlamak.</w:t>
            </w:r>
            <w:proofErr w:type="gramEnd"/>
          </w:p>
          <w:p w:rsidR="007F647D" w:rsidRDefault="007F647D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Fakültenin web sayfasını düzenlemek, güncel olmasını sağlamak.</w:t>
            </w:r>
            <w:proofErr w:type="gramEnd"/>
          </w:p>
          <w:p w:rsidR="007F647D" w:rsidRDefault="007F647D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Ders ve sınav programlarında kontrolör olmak.</w:t>
            </w:r>
            <w:proofErr w:type="gramEnd"/>
          </w:p>
          <w:p w:rsidR="007F647D" w:rsidRDefault="007F647D" w:rsidP="007F647D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Mezuniyet töreninin düzenli yapılması için organizasyon yapmak.</w:t>
            </w:r>
          </w:p>
          <w:p w:rsidR="002270D8" w:rsidRPr="003A1875" w:rsidRDefault="003A1875" w:rsidP="003A1875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Kurul, Fakülte Kurulu ve Fakülte Yönetim Kurulunda Dekanın yanında bulunmak, konusuyla ilgili bilgilendirme yapmak.</w:t>
            </w:r>
          </w:p>
          <w:p w:rsidR="002270D8" w:rsidRPr="00B73005" w:rsidRDefault="003A1875" w:rsidP="00611996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İlgili kurul, komitelerde bulunup, konusuyla ilgili destek vermek</w:t>
            </w:r>
            <w:r w:rsidR="007F647D" w:rsidRPr="00B73005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Fakü</w:t>
            </w:r>
            <w:r w:rsidR="00B73005">
              <w:rPr>
                <w:rFonts w:ascii="Cambria" w:hAnsi="Cambria"/>
              </w:rPr>
              <w:t xml:space="preserve">ltenin öz değerlendirme raporu </w:t>
            </w:r>
            <w:r w:rsidRPr="00853CB0">
              <w:rPr>
                <w:rFonts w:ascii="Cambria" w:hAnsi="Cambria"/>
              </w:rPr>
              <w:t>hazırla</w:t>
            </w:r>
            <w:r w:rsidR="00B73005">
              <w:rPr>
                <w:rFonts w:ascii="Cambria" w:hAnsi="Cambria"/>
              </w:rPr>
              <w:t>nırken destek vermek.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853CB0">
              <w:rPr>
                <w:rFonts w:ascii="Cambria" w:hAnsi="Cambria"/>
              </w:rPr>
              <w:t>Fakül</w:t>
            </w:r>
            <w:r w:rsidR="00B73005">
              <w:rPr>
                <w:rFonts w:ascii="Cambria" w:hAnsi="Cambria"/>
              </w:rPr>
              <w:t>tenin stratejik planını hazırlanırken destek vermek</w:t>
            </w:r>
            <w:r w:rsidRPr="00853CB0">
              <w:rPr>
                <w:rFonts w:ascii="Cambria" w:hAnsi="Cambria"/>
              </w:rPr>
              <w:t>.</w:t>
            </w:r>
            <w:proofErr w:type="gramEnd"/>
          </w:p>
          <w:p w:rsidR="003A1875" w:rsidRDefault="002270D8" w:rsidP="00C54EA8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3A1875">
              <w:rPr>
                <w:rFonts w:ascii="Cambria" w:hAnsi="Cambria"/>
              </w:rPr>
              <w:t>Belirlenen standartların kalitesinin geliştirilmesini sağla</w:t>
            </w:r>
            <w:r w:rsidR="00B73005" w:rsidRPr="003A1875">
              <w:rPr>
                <w:rFonts w:ascii="Cambria" w:hAnsi="Cambria"/>
              </w:rPr>
              <w:t>mak</w:t>
            </w:r>
            <w:r w:rsidRPr="003A1875">
              <w:rPr>
                <w:rFonts w:ascii="Cambria" w:hAnsi="Cambria"/>
              </w:rPr>
              <w:t>.</w:t>
            </w:r>
            <w:proofErr w:type="gramEnd"/>
          </w:p>
          <w:p w:rsidR="002270D8" w:rsidRPr="003A1875" w:rsidRDefault="003A1875" w:rsidP="00C54EA8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3A1875">
              <w:rPr>
                <w:rFonts w:ascii="Cambria" w:hAnsi="Cambria"/>
              </w:rPr>
              <w:t>Kurum</w:t>
            </w:r>
            <w:r w:rsidR="002270D8" w:rsidRPr="003A187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iç- dış değerlendirme </w:t>
            </w:r>
            <w:r w:rsidR="002270D8" w:rsidRPr="003A1875">
              <w:rPr>
                <w:rFonts w:ascii="Cambria" w:hAnsi="Cambria"/>
              </w:rPr>
              <w:t>ziyaret ekibinin programını hazırla</w:t>
            </w:r>
            <w:r>
              <w:rPr>
                <w:rFonts w:ascii="Cambria" w:hAnsi="Cambria"/>
              </w:rPr>
              <w:t>mak</w:t>
            </w:r>
            <w:r w:rsidR="002270D8" w:rsidRPr="003A1875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Öğretim elemanlarına “Öğretim Süreci Değerlendirme Anketlerinin” uygulanmasını sağla</w:t>
            </w:r>
            <w:r w:rsidR="00B73005">
              <w:rPr>
                <w:rFonts w:ascii="Cambria" w:hAnsi="Cambria"/>
              </w:rPr>
              <w:t>mak</w:t>
            </w:r>
            <w:r w:rsidRPr="00853CB0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Öğrencilerin Fakülteyi de</w:t>
            </w:r>
            <w:r w:rsidR="00B73005">
              <w:rPr>
                <w:rFonts w:ascii="Cambria" w:hAnsi="Cambria"/>
              </w:rPr>
              <w:t>ğerlendirme anketlerini hazırlayıp</w:t>
            </w:r>
            <w:r w:rsidRPr="00853CB0">
              <w:rPr>
                <w:rFonts w:ascii="Cambria" w:hAnsi="Cambria"/>
              </w:rPr>
              <w:t xml:space="preserve"> ve uygulanmasını sağla</w:t>
            </w:r>
            <w:r w:rsidR="00B73005">
              <w:rPr>
                <w:rFonts w:ascii="Cambria" w:hAnsi="Cambria"/>
              </w:rPr>
              <w:t>mak</w:t>
            </w:r>
            <w:r w:rsidRPr="00853CB0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Eğitim-öğretim ve araştırmalarla ilgili poli</w:t>
            </w:r>
            <w:r w:rsidR="00B73005">
              <w:rPr>
                <w:rFonts w:ascii="Cambria" w:hAnsi="Cambria"/>
              </w:rPr>
              <w:t>tikalar ve stratejiler geliştirmek</w:t>
            </w:r>
            <w:r w:rsidRPr="00853CB0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 xml:space="preserve">Öğrenci konseyi ve temsilciliği için gerekli olan seçimleri </w:t>
            </w:r>
            <w:proofErr w:type="spellStart"/>
            <w:r w:rsidRPr="00853CB0">
              <w:rPr>
                <w:rFonts w:ascii="Cambria" w:hAnsi="Cambria"/>
              </w:rPr>
              <w:t>yap</w:t>
            </w:r>
            <w:r w:rsidR="00B73005">
              <w:rPr>
                <w:rFonts w:ascii="Cambria" w:hAnsi="Cambria"/>
              </w:rPr>
              <w:t>l</w:t>
            </w:r>
            <w:r w:rsidR="003A1875">
              <w:rPr>
                <w:rFonts w:ascii="Cambria" w:hAnsi="Cambria"/>
              </w:rPr>
              <w:t>ı</w:t>
            </w:r>
            <w:r w:rsidR="00B73005">
              <w:rPr>
                <w:rFonts w:ascii="Cambria" w:hAnsi="Cambria"/>
              </w:rPr>
              <w:t>masını</w:t>
            </w:r>
            <w:proofErr w:type="spellEnd"/>
            <w:r w:rsidR="00B73005">
              <w:rPr>
                <w:rFonts w:ascii="Cambria" w:hAnsi="Cambria"/>
              </w:rPr>
              <w:t xml:space="preserve"> sağlamak</w:t>
            </w:r>
            <w:r w:rsidRPr="00853CB0">
              <w:rPr>
                <w:rFonts w:ascii="Cambria" w:hAnsi="Cambria"/>
              </w:rPr>
              <w:t>.</w:t>
            </w:r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853CB0">
              <w:rPr>
                <w:rFonts w:ascii="Cambria" w:hAnsi="Cambria"/>
              </w:rPr>
              <w:t>Dilek ve öneri kutularının düzenli olarak açıl</w:t>
            </w:r>
            <w:r w:rsidR="00B73005">
              <w:rPr>
                <w:rFonts w:ascii="Cambria" w:hAnsi="Cambria"/>
              </w:rPr>
              <w:t>masını ve değerlendirmesini yapmak</w:t>
            </w:r>
            <w:r w:rsidRPr="00853CB0">
              <w:rPr>
                <w:rFonts w:ascii="Cambria" w:hAnsi="Cambria"/>
              </w:rPr>
              <w:t>.</w:t>
            </w:r>
            <w:proofErr w:type="gramEnd"/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Akademik Genel Kurul sunularını</w:t>
            </w:r>
            <w:r w:rsidR="00B73005">
              <w:rPr>
                <w:rFonts w:ascii="Cambria" w:hAnsi="Cambria"/>
              </w:rPr>
              <w:t>n</w:t>
            </w:r>
            <w:r w:rsidRPr="00853CB0">
              <w:rPr>
                <w:rFonts w:ascii="Cambria" w:hAnsi="Cambria"/>
              </w:rPr>
              <w:t xml:space="preserve"> hazırla</w:t>
            </w:r>
            <w:r w:rsidR="00B73005">
              <w:rPr>
                <w:rFonts w:ascii="Cambria" w:hAnsi="Cambria"/>
              </w:rPr>
              <w:t>nmasına destek olmak</w:t>
            </w:r>
            <w:r w:rsidRPr="00853CB0">
              <w:rPr>
                <w:rFonts w:ascii="Cambria" w:hAnsi="Cambria"/>
              </w:rPr>
              <w:t>.</w:t>
            </w:r>
          </w:p>
          <w:p w:rsidR="002270D8" w:rsidRPr="00B73005" w:rsidRDefault="002270D8" w:rsidP="00A1584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proofErr w:type="gramStart"/>
            <w:r w:rsidRPr="00B73005">
              <w:rPr>
                <w:rFonts w:ascii="Cambria" w:hAnsi="Cambria"/>
              </w:rPr>
              <w:t>Fakültede öğretim üyeleri tarafından yürütülen projeler</w:t>
            </w:r>
            <w:r w:rsidR="00B73005" w:rsidRPr="00B73005">
              <w:rPr>
                <w:rFonts w:ascii="Cambria" w:hAnsi="Cambria"/>
              </w:rPr>
              <w:t>i takip etmek</w:t>
            </w:r>
            <w:r w:rsidRPr="00B73005">
              <w:rPr>
                <w:rFonts w:ascii="Cambria" w:hAnsi="Cambria"/>
              </w:rPr>
              <w:t>.</w:t>
            </w:r>
            <w:proofErr w:type="gramEnd"/>
          </w:p>
          <w:p w:rsidR="002270D8" w:rsidRPr="00853CB0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 ol</w:t>
            </w:r>
            <w:r w:rsidR="009C50B5">
              <w:rPr>
                <w:rFonts w:ascii="Cambria" w:hAnsi="Cambria"/>
              </w:rPr>
              <w:t>madığı zamanlarda Dekanlığa veka</w:t>
            </w:r>
            <w:r w:rsidRPr="00853CB0">
              <w:rPr>
                <w:rFonts w:ascii="Cambria" w:hAnsi="Cambria"/>
              </w:rPr>
              <w:t>let e</w:t>
            </w:r>
            <w:r w:rsidR="003A1875">
              <w:rPr>
                <w:rFonts w:ascii="Cambria" w:hAnsi="Cambria"/>
              </w:rPr>
              <w:t>tmek</w:t>
            </w:r>
            <w:r w:rsidRPr="00853CB0">
              <w:rPr>
                <w:rFonts w:ascii="Cambria" w:hAnsi="Cambria"/>
              </w:rPr>
              <w:t>.</w:t>
            </w:r>
          </w:p>
          <w:p w:rsidR="0031037F" w:rsidRPr="00614C14" w:rsidRDefault="0031037F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614C14">
              <w:rPr>
                <w:rFonts w:ascii="Cambria" w:hAnsi="Cambria"/>
              </w:rPr>
              <w:t>prosedürlerine</w:t>
            </w:r>
            <w:proofErr w:type="gramEnd"/>
            <w:r w:rsidRPr="00614C14">
              <w:rPr>
                <w:rFonts w:ascii="Cambria" w:hAnsi="Cambria"/>
              </w:rPr>
              <w:t xml:space="preserve"> uygun olarak yürütmek</w:t>
            </w:r>
            <w:r>
              <w:rPr>
                <w:rFonts w:ascii="Cambria" w:hAnsi="Cambria"/>
              </w:rPr>
              <w:t>,</w:t>
            </w:r>
          </w:p>
          <w:p w:rsidR="0031037F" w:rsidRDefault="0031037F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 xml:space="preserve">Bağlı bulunduğu yönetici veya üst yöneticilerin, görev alanı ile ilgili vereceği diğer işleri iş sağlığı ve güvenliği </w:t>
            </w:r>
            <w:r w:rsidR="007F647D">
              <w:rPr>
                <w:rFonts w:ascii="Cambria" w:hAnsi="Cambria"/>
              </w:rPr>
              <w:t>kurallarına uygun olarak yapmak.</w:t>
            </w:r>
          </w:p>
          <w:p w:rsidR="00754174" w:rsidRPr="002C05F1" w:rsidRDefault="002270D8" w:rsidP="0031037F">
            <w:pPr>
              <w:pStyle w:val="AralkYok"/>
              <w:numPr>
                <w:ilvl w:val="0"/>
                <w:numId w:val="15"/>
              </w:numPr>
              <w:jc w:val="both"/>
              <w:rPr>
                <w:rFonts w:ascii="Cambria" w:hAnsi="Cambria"/>
              </w:rPr>
            </w:pPr>
            <w:r w:rsidRPr="00853CB0">
              <w:rPr>
                <w:rFonts w:ascii="Cambria" w:hAnsi="Cambria"/>
              </w:rPr>
              <w:t>Dekan</w:t>
            </w:r>
            <w:r>
              <w:rPr>
                <w:rFonts w:ascii="Cambria" w:hAnsi="Cambria"/>
              </w:rPr>
              <w:t xml:space="preserve"> Yardımcısı</w:t>
            </w:r>
            <w:r w:rsidRPr="00853CB0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>
              <w:rPr>
                <w:rFonts w:ascii="Cambria" w:hAnsi="Cambria"/>
              </w:rPr>
              <w:t>Dekana</w:t>
            </w:r>
            <w:r w:rsidRPr="00853CB0">
              <w:rPr>
                <w:rFonts w:ascii="Cambria" w:hAnsi="Cambria"/>
              </w:rPr>
              <w:t xml:space="preserve"> karşı sorumludur. 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31037F">
        <w:trPr>
          <w:gridAfter w:val="1"/>
          <w:wAfter w:w="6" w:type="dxa"/>
        </w:trPr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12131F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D83CD5" w:rsidRDefault="00D83CD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35C41" w:rsidRDefault="00E35C41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C385C" w:rsidRDefault="001C385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74CBA" w:rsidRDefault="00274CBA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1D371E" w:rsidRDefault="001D371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EE2587" w:rsidRDefault="00EE2587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2270D8" w:rsidRDefault="002270D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A54008" w:rsidRPr="0012131F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lastRenderedPageBreak/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lastRenderedPageBreak/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lastRenderedPageBreak/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lastRenderedPageBreak/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lastRenderedPageBreak/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50B" w:rsidRDefault="00F1150B" w:rsidP="00534F7F">
      <w:r>
        <w:separator/>
      </w:r>
    </w:p>
  </w:endnote>
  <w:endnote w:type="continuationSeparator" w:id="0">
    <w:p w:rsidR="00F1150B" w:rsidRDefault="00F1150B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CB" w:rsidRDefault="001C5E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9C50B5" w:rsidRPr="0081560B" w:rsidTr="004023B0">
      <w:trPr>
        <w:trHeight w:val="559"/>
      </w:trPr>
      <w:tc>
        <w:tcPr>
          <w:tcW w:w="666" w:type="dxa"/>
        </w:tcPr>
        <w:p w:rsidR="009C50B5" w:rsidRPr="00C4163E" w:rsidRDefault="009C50B5" w:rsidP="009C50B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9C50B5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9C50B5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9C50B5" w:rsidRPr="00171789" w:rsidRDefault="009C50B5" w:rsidP="009C50B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9C50B5" w:rsidRPr="00171789" w:rsidRDefault="009C50B5" w:rsidP="009C50B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9C50B5" w:rsidRPr="0081560B" w:rsidRDefault="009C50B5" w:rsidP="009C50B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9C50B5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9C50B5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9C50B5" w:rsidRPr="0081560B" w:rsidRDefault="009C50B5" w:rsidP="009C50B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9C50B5" w:rsidRPr="0081560B" w:rsidRDefault="009C50B5" w:rsidP="009C50B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05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305A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CB" w:rsidRDefault="001C5E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50B" w:rsidRDefault="00F1150B" w:rsidP="00534F7F">
      <w:r>
        <w:separator/>
      </w:r>
    </w:p>
  </w:footnote>
  <w:footnote w:type="continuationSeparator" w:id="0">
    <w:p w:rsidR="00F1150B" w:rsidRDefault="00F1150B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CB" w:rsidRDefault="001C5E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791F7B" w:rsidTr="00715C4E">
      <w:trPr>
        <w:trHeight w:val="189"/>
      </w:trPr>
      <w:tc>
        <w:tcPr>
          <w:tcW w:w="2547" w:type="dxa"/>
          <w:vMerge w:val="restart"/>
        </w:tcPr>
        <w:p w:rsidR="00791F7B" w:rsidRDefault="00791F7B" w:rsidP="00791F7B">
          <w:pPr>
            <w:pStyle w:val="stBilgi"/>
            <w:ind w:left="-115" w:right="-110"/>
          </w:pPr>
          <w:r>
            <w:rPr>
              <w:noProof/>
              <w:color w:val="0000FF"/>
            </w:rPr>
            <w:drawing>
              <wp:inline distT="0" distB="0" distL="0" distR="0" wp14:anchorId="427737CB" wp14:editId="72A438CA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91F7B" w:rsidRPr="00682A32" w:rsidRDefault="00791F7B" w:rsidP="00791F7B">
          <w:pPr>
            <w:pStyle w:val="stBilgi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 </w:t>
          </w:r>
          <w:r w:rsidRPr="00682A32">
            <w:rPr>
              <w:rFonts w:ascii="Cambria" w:hAnsi="Cambria"/>
              <w:b/>
              <w:color w:val="002060"/>
            </w:rPr>
            <w:t>GÖREV</w:t>
          </w:r>
          <w:r>
            <w:rPr>
              <w:rFonts w:ascii="Cambria" w:hAnsi="Cambria"/>
              <w:b/>
              <w:color w:val="002060"/>
            </w:rPr>
            <w:t xml:space="preserve"> TANIMI</w:t>
          </w:r>
          <w:r w:rsidRPr="00682A32">
            <w:rPr>
              <w:rFonts w:ascii="Cambria" w:hAnsi="Cambria"/>
              <w:b/>
              <w:color w:val="002060"/>
            </w:rPr>
            <w:t xml:space="preserve"> 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t xml:space="preserve">                                      </w:t>
          </w:r>
          <w:r>
            <w:rPr>
              <w:rFonts w:ascii="Arial" w:hAnsi="Arial" w:cs="Arial"/>
              <w:noProof/>
              <w:color w:val="337AB7"/>
              <w:sz w:val="19"/>
              <w:szCs w:val="19"/>
            </w:rPr>
            <w:drawing>
              <wp:inline distT="0" distB="0" distL="0" distR="0" wp14:anchorId="2123999E" wp14:editId="6DC8FC2A">
                <wp:extent cx="419100" cy="666750"/>
                <wp:effectExtent l="0" t="0" r="0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91F7B" w:rsidRPr="0092378E" w:rsidRDefault="00791F7B" w:rsidP="00791F7B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791F7B" w:rsidRPr="0092378E" w:rsidRDefault="00791F7B" w:rsidP="00791F7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791F7B" w:rsidRPr="00171789" w:rsidRDefault="00E305A4" w:rsidP="00791F7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GRT-0003</w:t>
          </w:r>
          <w:bookmarkStart w:id="0" w:name="_GoBack"/>
          <w:bookmarkEnd w:id="0"/>
        </w:p>
      </w:tc>
    </w:tr>
    <w:tr w:rsidR="00791F7B" w:rsidTr="00715C4E">
      <w:trPr>
        <w:trHeight w:val="187"/>
      </w:trPr>
      <w:tc>
        <w:tcPr>
          <w:tcW w:w="2547" w:type="dxa"/>
          <w:vMerge/>
        </w:tcPr>
        <w:p w:rsidR="00791F7B" w:rsidRDefault="00791F7B" w:rsidP="00791F7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91F7B" w:rsidRDefault="00791F7B" w:rsidP="00791F7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791F7B" w:rsidRPr="0092378E" w:rsidRDefault="00791F7B" w:rsidP="00791F7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791F7B" w:rsidRPr="00171789" w:rsidRDefault="00791F7B" w:rsidP="00791F7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791F7B" w:rsidTr="00715C4E">
      <w:trPr>
        <w:trHeight w:val="187"/>
      </w:trPr>
      <w:tc>
        <w:tcPr>
          <w:tcW w:w="2547" w:type="dxa"/>
          <w:vMerge/>
        </w:tcPr>
        <w:p w:rsidR="00791F7B" w:rsidRDefault="00791F7B" w:rsidP="00791F7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91F7B" w:rsidRDefault="00791F7B" w:rsidP="00791F7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791F7B" w:rsidRPr="0092378E" w:rsidRDefault="00791F7B" w:rsidP="00791F7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791F7B" w:rsidRPr="00171789" w:rsidRDefault="00791F7B" w:rsidP="00791F7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791F7B" w:rsidTr="00715C4E">
      <w:trPr>
        <w:trHeight w:val="220"/>
      </w:trPr>
      <w:tc>
        <w:tcPr>
          <w:tcW w:w="2547" w:type="dxa"/>
          <w:vMerge/>
        </w:tcPr>
        <w:p w:rsidR="00791F7B" w:rsidRDefault="00791F7B" w:rsidP="00791F7B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791F7B" w:rsidRDefault="00791F7B" w:rsidP="00791F7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791F7B" w:rsidRPr="0092378E" w:rsidRDefault="00791F7B" w:rsidP="00791F7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791F7B" w:rsidRPr="00171789" w:rsidRDefault="00791F7B" w:rsidP="00791F7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ECB" w:rsidRDefault="001C5E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7A8175DD"/>
    <w:multiLevelType w:val="hybridMultilevel"/>
    <w:tmpl w:val="D16CC68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12"/>
  </w:num>
  <w:num w:numId="7">
    <w:abstractNumId w:val="15"/>
  </w:num>
  <w:num w:numId="8">
    <w:abstractNumId w:val="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8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33FAA"/>
    <w:rsid w:val="00061C19"/>
    <w:rsid w:val="00062E92"/>
    <w:rsid w:val="000650D3"/>
    <w:rsid w:val="000C04CC"/>
    <w:rsid w:val="00104233"/>
    <w:rsid w:val="0012131F"/>
    <w:rsid w:val="0013037B"/>
    <w:rsid w:val="00146827"/>
    <w:rsid w:val="00150110"/>
    <w:rsid w:val="00163C7F"/>
    <w:rsid w:val="00164950"/>
    <w:rsid w:val="0016547C"/>
    <w:rsid w:val="00167ACC"/>
    <w:rsid w:val="00172ADA"/>
    <w:rsid w:val="001842CA"/>
    <w:rsid w:val="00197CE6"/>
    <w:rsid w:val="001C153C"/>
    <w:rsid w:val="001C1597"/>
    <w:rsid w:val="001C2C4E"/>
    <w:rsid w:val="001C385C"/>
    <w:rsid w:val="001C5ECB"/>
    <w:rsid w:val="001D281B"/>
    <w:rsid w:val="001D371E"/>
    <w:rsid w:val="001E4576"/>
    <w:rsid w:val="001F457B"/>
    <w:rsid w:val="001F6791"/>
    <w:rsid w:val="00207A80"/>
    <w:rsid w:val="002270D8"/>
    <w:rsid w:val="0023302F"/>
    <w:rsid w:val="00236E1E"/>
    <w:rsid w:val="0026786F"/>
    <w:rsid w:val="0027292B"/>
    <w:rsid w:val="00274CBA"/>
    <w:rsid w:val="0029374A"/>
    <w:rsid w:val="00296852"/>
    <w:rsid w:val="002B2944"/>
    <w:rsid w:val="002B3AA0"/>
    <w:rsid w:val="002B4786"/>
    <w:rsid w:val="002C05F1"/>
    <w:rsid w:val="002C0A2B"/>
    <w:rsid w:val="002E7330"/>
    <w:rsid w:val="00304EAB"/>
    <w:rsid w:val="0031037F"/>
    <w:rsid w:val="0032238E"/>
    <w:rsid w:val="003230A8"/>
    <w:rsid w:val="003303FE"/>
    <w:rsid w:val="0033736D"/>
    <w:rsid w:val="00341062"/>
    <w:rsid w:val="003617EF"/>
    <w:rsid w:val="00393BCE"/>
    <w:rsid w:val="003A1875"/>
    <w:rsid w:val="003A1F30"/>
    <w:rsid w:val="003C2817"/>
    <w:rsid w:val="003C6894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A7967"/>
    <w:rsid w:val="004D0318"/>
    <w:rsid w:val="004D6EB8"/>
    <w:rsid w:val="004F27F3"/>
    <w:rsid w:val="005332AB"/>
    <w:rsid w:val="00534F7F"/>
    <w:rsid w:val="00537423"/>
    <w:rsid w:val="00544A37"/>
    <w:rsid w:val="00551B24"/>
    <w:rsid w:val="0055738B"/>
    <w:rsid w:val="005641FD"/>
    <w:rsid w:val="00564EDC"/>
    <w:rsid w:val="00565BFA"/>
    <w:rsid w:val="00586A9C"/>
    <w:rsid w:val="005B03FF"/>
    <w:rsid w:val="005B3B02"/>
    <w:rsid w:val="005B5AD0"/>
    <w:rsid w:val="005B6D4E"/>
    <w:rsid w:val="006040B2"/>
    <w:rsid w:val="006068F4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47DFA"/>
    <w:rsid w:val="00651747"/>
    <w:rsid w:val="00682605"/>
    <w:rsid w:val="00682A32"/>
    <w:rsid w:val="006C40E1"/>
    <w:rsid w:val="006C7D11"/>
    <w:rsid w:val="006D3B1F"/>
    <w:rsid w:val="006D6E8B"/>
    <w:rsid w:val="006E6192"/>
    <w:rsid w:val="0070372C"/>
    <w:rsid w:val="00706420"/>
    <w:rsid w:val="00710630"/>
    <w:rsid w:val="00714096"/>
    <w:rsid w:val="00715C4E"/>
    <w:rsid w:val="00726038"/>
    <w:rsid w:val="007266A2"/>
    <w:rsid w:val="007304E0"/>
    <w:rsid w:val="0073606C"/>
    <w:rsid w:val="00736779"/>
    <w:rsid w:val="0074638C"/>
    <w:rsid w:val="00747DD0"/>
    <w:rsid w:val="00754174"/>
    <w:rsid w:val="0075616C"/>
    <w:rsid w:val="00762EA3"/>
    <w:rsid w:val="00763BDF"/>
    <w:rsid w:val="00775EA7"/>
    <w:rsid w:val="00775F29"/>
    <w:rsid w:val="00776087"/>
    <w:rsid w:val="00791F7B"/>
    <w:rsid w:val="0079374A"/>
    <w:rsid w:val="007A3EE6"/>
    <w:rsid w:val="007A7DBB"/>
    <w:rsid w:val="007B0CFD"/>
    <w:rsid w:val="007D1C4E"/>
    <w:rsid w:val="007D4382"/>
    <w:rsid w:val="007D55FA"/>
    <w:rsid w:val="007E210F"/>
    <w:rsid w:val="007F647D"/>
    <w:rsid w:val="00803617"/>
    <w:rsid w:val="00805579"/>
    <w:rsid w:val="00810A48"/>
    <w:rsid w:val="00830A95"/>
    <w:rsid w:val="00840467"/>
    <w:rsid w:val="0086003A"/>
    <w:rsid w:val="008853A8"/>
    <w:rsid w:val="008C4974"/>
    <w:rsid w:val="008C6E2F"/>
    <w:rsid w:val="008D117F"/>
    <w:rsid w:val="008D371C"/>
    <w:rsid w:val="008D57AB"/>
    <w:rsid w:val="008E478D"/>
    <w:rsid w:val="008E591A"/>
    <w:rsid w:val="008E7722"/>
    <w:rsid w:val="0093327A"/>
    <w:rsid w:val="0094289F"/>
    <w:rsid w:val="00947419"/>
    <w:rsid w:val="00952BC7"/>
    <w:rsid w:val="00966126"/>
    <w:rsid w:val="0096625E"/>
    <w:rsid w:val="00966A44"/>
    <w:rsid w:val="009B6181"/>
    <w:rsid w:val="009C1368"/>
    <w:rsid w:val="009C50B5"/>
    <w:rsid w:val="009D41B9"/>
    <w:rsid w:val="009E07BF"/>
    <w:rsid w:val="00A125A4"/>
    <w:rsid w:val="00A17E50"/>
    <w:rsid w:val="00A22546"/>
    <w:rsid w:val="00A22889"/>
    <w:rsid w:val="00A23674"/>
    <w:rsid w:val="00A354CE"/>
    <w:rsid w:val="00A45E0C"/>
    <w:rsid w:val="00A54008"/>
    <w:rsid w:val="00A75555"/>
    <w:rsid w:val="00A83390"/>
    <w:rsid w:val="00A97B30"/>
    <w:rsid w:val="00AA5BEE"/>
    <w:rsid w:val="00AC58EE"/>
    <w:rsid w:val="00AE4216"/>
    <w:rsid w:val="00B06EC8"/>
    <w:rsid w:val="00B146E9"/>
    <w:rsid w:val="00B23E4A"/>
    <w:rsid w:val="00B24AEE"/>
    <w:rsid w:val="00B35746"/>
    <w:rsid w:val="00B35F09"/>
    <w:rsid w:val="00B6421D"/>
    <w:rsid w:val="00B73005"/>
    <w:rsid w:val="00B81B21"/>
    <w:rsid w:val="00B834F2"/>
    <w:rsid w:val="00B912E6"/>
    <w:rsid w:val="00B936DF"/>
    <w:rsid w:val="00B94075"/>
    <w:rsid w:val="00BB1E65"/>
    <w:rsid w:val="00BB3754"/>
    <w:rsid w:val="00BB7297"/>
    <w:rsid w:val="00BC7571"/>
    <w:rsid w:val="00BC7F23"/>
    <w:rsid w:val="00BF54D2"/>
    <w:rsid w:val="00C04787"/>
    <w:rsid w:val="00C305C2"/>
    <w:rsid w:val="00C32325"/>
    <w:rsid w:val="00C34C44"/>
    <w:rsid w:val="00C35406"/>
    <w:rsid w:val="00C47689"/>
    <w:rsid w:val="00C53C77"/>
    <w:rsid w:val="00CB6A3F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A0C44"/>
    <w:rsid w:val="00DB2E18"/>
    <w:rsid w:val="00DD12B3"/>
    <w:rsid w:val="00DD308E"/>
    <w:rsid w:val="00DD3517"/>
    <w:rsid w:val="00DD51A4"/>
    <w:rsid w:val="00DE498A"/>
    <w:rsid w:val="00DE7DA1"/>
    <w:rsid w:val="00E03E32"/>
    <w:rsid w:val="00E10203"/>
    <w:rsid w:val="00E10785"/>
    <w:rsid w:val="00E13F11"/>
    <w:rsid w:val="00E305A4"/>
    <w:rsid w:val="00E3436C"/>
    <w:rsid w:val="00E35C41"/>
    <w:rsid w:val="00E36113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61D4"/>
    <w:rsid w:val="00EE2587"/>
    <w:rsid w:val="00EE3346"/>
    <w:rsid w:val="00F06511"/>
    <w:rsid w:val="00F1150B"/>
    <w:rsid w:val="00F12E2C"/>
    <w:rsid w:val="00F139D6"/>
    <w:rsid w:val="00F220E4"/>
    <w:rsid w:val="00F33BC5"/>
    <w:rsid w:val="00F442B7"/>
    <w:rsid w:val="00F544B4"/>
    <w:rsid w:val="00F614C3"/>
    <w:rsid w:val="00F670B9"/>
    <w:rsid w:val="00FA6D95"/>
    <w:rsid w:val="00FB69AA"/>
    <w:rsid w:val="00FC06A9"/>
    <w:rsid w:val="00FC3E69"/>
    <w:rsid w:val="00FC7E79"/>
    <w:rsid w:val="00FD6A9C"/>
    <w:rsid w:val="00FD6F30"/>
    <w:rsid w:val="00FF3333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A678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10</cp:revision>
  <dcterms:created xsi:type="dcterms:W3CDTF">2019-10-08T11:43:00Z</dcterms:created>
  <dcterms:modified xsi:type="dcterms:W3CDTF">2019-10-28T06:42:00Z</dcterms:modified>
</cp:coreProperties>
</file>